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C917" w14:textId="57DD701B" w:rsidR="00B10EA3" w:rsidRPr="00B10EA3" w:rsidRDefault="00B10EA3" w:rsidP="00A66C42">
      <w:pPr>
        <w:rPr>
          <w:i/>
          <w:iCs/>
        </w:rPr>
      </w:pPr>
      <w:r w:rsidRPr="00B10EA3">
        <w:rPr>
          <w:i/>
          <w:iCs/>
        </w:rPr>
        <w:t xml:space="preserve">Draft: Multi-Disciplinary Death Review </w:t>
      </w:r>
      <w:r w:rsidR="003E0A94">
        <w:rPr>
          <w:i/>
          <w:iCs/>
        </w:rPr>
        <w:t>2012-2021</w:t>
      </w:r>
    </w:p>
    <w:p w14:paraId="4B0A790E" w14:textId="77777777" w:rsidR="00ED3E38" w:rsidRPr="00ED3E38" w:rsidRDefault="00ED3E38" w:rsidP="00ED3E38">
      <w:pPr>
        <w:rPr>
          <w:i/>
          <w:iCs/>
        </w:rPr>
      </w:pPr>
      <w:r w:rsidRPr="00ED3E38">
        <w:rPr>
          <w:i/>
          <w:iCs/>
        </w:rPr>
        <w:t>Abstract</w:t>
      </w:r>
    </w:p>
    <w:p w14:paraId="6BD2ECCB" w14:textId="77777777" w:rsidR="00ED3E38" w:rsidRPr="00ED3E38" w:rsidRDefault="00ED3E38" w:rsidP="00ED3E38">
      <w:pPr>
        <w:rPr>
          <w:i/>
          <w:iCs/>
        </w:rPr>
      </w:pPr>
      <w:r w:rsidRPr="00ED3E38">
        <w:rPr>
          <w:i/>
          <w:iCs/>
        </w:rPr>
        <w:t>Objectives</w:t>
      </w:r>
    </w:p>
    <w:p w14:paraId="15D3185E" w14:textId="77777777" w:rsidR="00ED3E38" w:rsidRPr="00ED3E38" w:rsidRDefault="00ED3E38" w:rsidP="00ED3E38">
      <w:pPr>
        <w:rPr>
          <w:i/>
          <w:iCs/>
        </w:rPr>
      </w:pPr>
      <w:r w:rsidRPr="00ED3E38">
        <w:rPr>
          <w:i/>
          <w:iCs/>
        </w:rPr>
        <w:t>Methods</w:t>
      </w:r>
    </w:p>
    <w:p w14:paraId="5E5A81EC" w14:textId="77777777" w:rsidR="00ED3E38" w:rsidRPr="00ED3E38" w:rsidRDefault="00ED3E38" w:rsidP="00ED3E38">
      <w:pPr>
        <w:rPr>
          <w:i/>
          <w:iCs/>
        </w:rPr>
      </w:pPr>
      <w:r w:rsidRPr="00ED3E38">
        <w:rPr>
          <w:i/>
          <w:iCs/>
        </w:rPr>
        <w:t>Results</w:t>
      </w:r>
    </w:p>
    <w:p w14:paraId="56D53389" w14:textId="337C6598" w:rsidR="00ED3E38" w:rsidRPr="00ED3E38" w:rsidRDefault="00ED3E38" w:rsidP="00A66C42">
      <w:pPr>
        <w:rPr>
          <w:i/>
          <w:iCs/>
        </w:rPr>
      </w:pPr>
      <w:r w:rsidRPr="00ED3E38">
        <w:rPr>
          <w:i/>
          <w:iCs/>
        </w:rPr>
        <w:t>Conclusions</w:t>
      </w:r>
    </w:p>
    <w:p w14:paraId="54528D53" w14:textId="12A4C98F" w:rsidR="00A66C42" w:rsidRPr="009C755B" w:rsidRDefault="00A66C42" w:rsidP="00A66C42">
      <w:pPr>
        <w:rPr>
          <w:b/>
          <w:bCs/>
        </w:rPr>
      </w:pPr>
      <w:r w:rsidRPr="009C755B">
        <w:rPr>
          <w:b/>
          <w:bCs/>
        </w:rPr>
        <w:t>Background</w:t>
      </w:r>
    </w:p>
    <w:p w14:paraId="65076507" w14:textId="14D4D922" w:rsidR="003C3195" w:rsidRDefault="006B6538" w:rsidP="00A66C42">
      <w:r>
        <w:t xml:space="preserve">While child deaths are incredibly </w:t>
      </w:r>
      <w:r w:rsidR="003355AB">
        <w:t xml:space="preserve">regretful, they are also widely preventable. </w:t>
      </w:r>
      <w:r w:rsidR="00EE0A1D">
        <w:t xml:space="preserve">Explaining why health equity is in many ways connected to child deaths can unveil new opportunities to </w:t>
      </w:r>
      <w:r w:rsidR="00A14C72">
        <w:t xml:space="preserve">promote prevention strategies to the community. Death certificate data cannot </w:t>
      </w:r>
      <w:r w:rsidR="00DD7D28">
        <w:t>thoroughly</w:t>
      </w:r>
      <w:r w:rsidR="00A14C72">
        <w:t xml:space="preserve"> explain a child death and further, neither can </w:t>
      </w:r>
      <w:r w:rsidR="00CC6FCE">
        <w:t xml:space="preserve">information from a multidisciplinary death review team. We looked to </w:t>
      </w:r>
      <w:r w:rsidR="00195F93">
        <w:t xml:space="preserve">unearth a more complex explanation to the child deaths in El Dorado County over 10 years that can help support measures in </w:t>
      </w:r>
      <w:r w:rsidR="00DD7D28">
        <w:t>child death prevention strategies.</w:t>
      </w:r>
    </w:p>
    <w:p w14:paraId="7E049CB0" w14:textId="77777777" w:rsidR="00A66C42" w:rsidRPr="00FD57C7" w:rsidRDefault="00A66C42" w:rsidP="00A66C42">
      <w:pPr>
        <w:rPr>
          <w:i/>
          <w:iCs/>
        </w:rPr>
      </w:pPr>
      <w:r w:rsidRPr="00FD57C7">
        <w:rPr>
          <w:i/>
          <w:iCs/>
        </w:rPr>
        <w:t>Introduction</w:t>
      </w:r>
    </w:p>
    <w:p w14:paraId="2304E9E8" w14:textId="755E3A7C" w:rsidR="00070AD8" w:rsidRDefault="00980F45" w:rsidP="00AC4E88">
      <w:pPr>
        <w:ind w:firstLine="720"/>
        <w:rPr>
          <w:rFonts w:cstheme="minorHAnsi"/>
        </w:rPr>
      </w:pPr>
      <w:r w:rsidRPr="00964611">
        <w:rPr>
          <w:rFonts w:cstheme="minorHAnsi"/>
        </w:rPr>
        <w:t>The mortality rates among children in the United States have noticeably increased over the last decade (</w:t>
      </w:r>
      <w:r w:rsidRPr="00964611">
        <w:rPr>
          <w:rFonts w:cstheme="minorHAnsi"/>
          <w:i/>
          <w:iCs/>
        </w:rPr>
        <w:t>Concerning Trends in U.S. Teen Death Rates | KIDS COUNT Data Center</w:t>
      </w:r>
      <w:r w:rsidRPr="00964611">
        <w:rPr>
          <w:rFonts w:cstheme="minorHAnsi"/>
        </w:rPr>
        <w:t>, n.d.)</w:t>
      </w:r>
      <w:r w:rsidR="00964611" w:rsidRPr="00964611">
        <w:rPr>
          <w:rFonts w:cstheme="minorHAnsi"/>
        </w:rPr>
        <w:t xml:space="preserve">. </w:t>
      </w:r>
      <w:r w:rsidR="00FC7FD3">
        <w:rPr>
          <w:rFonts w:cstheme="minorHAnsi"/>
        </w:rPr>
        <w:t>According to Woolfe</w:t>
      </w:r>
      <w:r w:rsidR="00DF3C79">
        <w:rPr>
          <w:rFonts w:cstheme="minorHAnsi"/>
        </w:rPr>
        <w:t xml:space="preserve"> et al., c</w:t>
      </w:r>
      <w:r w:rsidR="008A243C">
        <w:rPr>
          <w:rFonts w:cstheme="minorHAnsi"/>
        </w:rPr>
        <w:t>hild mortality rates</w:t>
      </w:r>
      <w:r w:rsidR="00DF3C79">
        <w:rPr>
          <w:rFonts w:cstheme="minorHAnsi"/>
        </w:rPr>
        <w:t xml:space="preserve"> in</w:t>
      </w:r>
      <w:r w:rsidR="008A243C">
        <w:rPr>
          <w:rFonts w:cstheme="minorHAnsi"/>
        </w:rPr>
        <w:t xml:space="preserve"> ages </w:t>
      </w:r>
      <w:r w:rsidR="00AE23BC">
        <w:rPr>
          <w:rFonts w:cstheme="minorHAnsi"/>
        </w:rPr>
        <w:t xml:space="preserve">ranging </w:t>
      </w:r>
      <w:r w:rsidR="008A243C">
        <w:rPr>
          <w:rFonts w:cstheme="minorHAnsi"/>
        </w:rPr>
        <w:t>between 0 to 19, rose 20% from 2019 to 2021</w:t>
      </w:r>
      <w:r w:rsidR="009D23C9">
        <w:rPr>
          <w:rFonts w:cstheme="minorHAnsi"/>
        </w:rPr>
        <w:t>, citing a large increase in mortality</w:t>
      </w:r>
      <w:r w:rsidR="001A3059">
        <w:t xml:space="preserve">. Overtime the </w:t>
      </w:r>
      <w:r w:rsidR="00DD34BF">
        <w:t>leading</w:t>
      </w:r>
      <w:r w:rsidR="001A3059">
        <w:t xml:space="preserve"> causes of death have changed from deaths by disease (pneumonia, </w:t>
      </w:r>
      <w:r w:rsidR="00DD34BF">
        <w:t>tuberculosis</w:t>
      </w:r>
      <w:r w:rsidR="001A3059">
        <w:t xml:space="preserve">, and diarrhea) to deaths by unintentional injury (accidents, etc.), natural, and </w:t>
      </w:r>
      <w:r w:rsidR="00621568">
        <w:t xml:space="preserve">intentional injury, based on changes in prevention and advancements in science, deaths in disease improved (Cunningham et al., 2018). </w:t>
      </w:r>
      <w:r w:rsidR="006D23BB">
        <w:t xml:space="preserve">Regardless of these changes, health inequities continue to be factored in the reasons for death occurrences </w:t>
      </w:r>
      <w:r w:rsidR="00D31A74" w:rsidRPr="00D31A74">
        <w:rPr>
          <w:rFonts w:cstheme="minorHAnsi"/>
        </w:rPr>
        <w:t>(Perry et al., 2019</w:t>
      </w:r>
      <w:r w:rsidR="007E32F6">
        <w:rPr>
          <w:rFonts w:cstheme="minorHAnsi"/>
        </w:rPr>
        <w:t xml:space="preserve">). </w:t>
      </w:r>
      <w:r w:rsidR="002348D6">
        <w:rPr>
          <w:rFonts w:cstheme="minorHAnsi"/>
        </w:rPr>
        <w:t xml:space="preserve">The research on child mortality </w:t>
      </w:r>
      <w:r w:rsidR="00FA6D29">
        <w:rPr>
          <w:rFonts w:cstheme="minorHAnsi"/>
        </w:rPr>
        <w:t>is derived from death certificate data from the Centers for Disease Control</w:t>
      </w:r>
      <w:r w:rsidR="00CA14E4">
        <w:rPr>
          <w:rFonts w:cstheme="minorHAnsi"/>
        </w:rPr>
        <w:t xml:space="preserve"> and Prevention</w:t>
      </w:r>
      <w:r w:rsidR="00553CD3">
        <w:rPr>
          <w:rFonts w:cstheme="minorHAnsi"/>
        </w:rPr>
        <w:t xml:space="preserve"> (CDC)</w:t>
      </w:r>
      <w:r w:rsidR="00CA14E4">
        <w:rPr>
          <w:rFonts w:cstheme="minorHAnsi"/>
        </w:rPr>
        <w:t>.</w:t>
      </w:r>
    </w:p>
    <w:p w14:paraId="475FAEEE" w14:textId="65D02DC8" w:rsidR="00666385" w:rsidRDefault="00552EF2" w:rsidP="00AC4E88">
      <w:pPr>
        <w:ind w:firstLine="720"/>
        <w:rPr>
          <w:rFonts w:cstheme="minorHAnsi"/>
        </w:rPr>
      </w:pPr>
      <w:r>
        <w:rPr>
          <w:rFonts w:cstheme="minorHAnsi"/>
        </w:rPr>
        <w:t xml:space="preserve">Although advancements in </w:t>
      </w:r>
      <w:r w:rsidR="00FC4EC0">
        <w:rPr>
          <w:rFonts w:cstheme="minorHAnsi"/>
        </w:rPr>
        <w:t>halting</w:t>
      </w:r>
      <w:r>
        <w:rPr>
          <w:rFonts w:cstheme="minorHAnsi"/>
        </w:rPr>
        <w:t xml:space="preserve"> </w:t>
      </w:r>
      <w:r w:rsidR="00FC4EC0">
        <w:rPr>
          <w:rFonts w:cstheme="minorHAnsi"/>
        </w:rPr>
        <w:t xml:space="preserve">certain causes of death among children have increased, </w:t>
      </w:r>
      <w:r w:rsidR="00656603">
        <w:rPr>
          <w:rFonts w:cstheme="minorHAnsi"/>
        </w:rPr>
        <w:t xml:space="preserve">health </w:t>
      </w:r>
      <w:r w:rsidR="002F0AF3">
        <w:rPr>
          <w:rFonts w:cstheme="minorHAnsi"/>
        </w:rPr>
        <w:t xml:space="preserve">inequities among children have been </w:t>
      </w:r>
      <w:r w:rsidR="002F0AF3" w:rsidRPr="007A13B8">
        <w:rPr>
          <w:rFonts w:cstheme="minorHAnsi"/>
          <w:sz w:val="20"/>
          <w:szCs w:val="20"/>
        </w:rPr>
        <w:t>staggering</w:t>
      </w:r>
      <w:r w:rsidR="00656603" w:rsidRPr="007A13B8">
        <w:rPr>
          <w:rFonts w:cstheme="minorHAnsi"/>
          <w:sz w:val="20"/>
          <w:szCs w:val="20"/>
        </w:rPr>
        <w:t xml:space="preserve"> </w:t>
      </w:r>
      <w:r w:rsidR="007A13B8" w:rsidRPr="007A13B8">
        <w:rPr>
          <w:rFonts w:cstheme="minorHAnsi"/>
        </w:rPr>
        <w:t>(Perry et al., 2019</w:t>
      </w:r>
      <w:r w:rsidR="007A13B8">
        <w:rPr>
          <w:rFonts w:cstheme="minorHAnsi"/>
        </w:rPr>
        <w:t xml:space="preserve">). </w:t>
      </w:r>
      <w:r w:rsidR="007221CD">
        <w:rPr>
          <w:rFonts w:cstheme="minorHAnsi"/>
        </w:rPr>
        <w:t xml:space="preserve">Examples of this look like increase in </w:t>
      </w:r>
      <w:r w:rsidR="00DC1300">
        <w:rPr>
          <w:rFonts w:cstheme="minorHAnsi"/>
        </w:rPr>
        <w:t xml:space="preserve">the </w:t>
      </w:r>
      <w:r w:rsidR="007221CD">
        <w:rPr>
          <w:rFonts w:cstheme="minorHAnsi"/>
        </w:rPr>
        <w:t xml:space="preserve">mental health </w:t>
      </w:r>
      <w:r w:rsidR="00DC1300">
        <w:rPr>
          <w:rFonts w:cstheme="minorHAnsi"/>
        </w:rPr>
        <w:t xml:space="preserve">crisis, </w:t>
      </w:r>
      <w:r w:rsidR="00B3730F">
        <w:rPr>
          <w:rFonts w:cstheme="minorHAnsi"/>
        </w:rPr>
        <w:t xml:space="preserve">deaths involving firearms, and increases in suicide rates as well </w:t>
      </w:r>
      <w:r w:rsidR="00922EB6">
        <w:t xml:space="preserve">(Woolf et al., 2023). Discussing and understanding the aspect surrounding the idea of health equity </w:t>
      </w:r>
      <w:r w:rsidR="00E165FD">
        <w:t>is essential when public health professionals and their teams decide on prevention strategies to combat child mortality</w:t>
      </w:r>
      <w:r w:rsidR="00F37337">
        <w:t xml:space="preserve"> </w:t>
      </w:r>
      <w:r w:rsidR="00B67385" w:rsidRPr="00B67385">
        <w:t>(Victor</w:t>
      </w:r>
      <w:r w:rsidR="00B67385">
        <w:t>i</w:t>
      </w:r>
      <w:r w:rsidR="00B67385" w:rsidRPr="00B67385">
        <w:t>a et al., 2003</w:t>
      </w:r>
      <w:r w:rsidR="00B11CE2">
        <w:t xml:space="preserve"> &amp; </w:t>
      </w:r>
      <w:r w:rsidR="00B11CE2" w:rsidRPr="00B11CE2">
        <w:t>Hoyer et al., 2022</w:t>
      </w:r>
      <w:r w:rsidR="00B67385" w:rsidRPr="00B67385">
        <w:t>)</w:t>
      </w:r>
      <w:r w:rsidR="00E165FD">
        <w:t xml:space="preserve">. </w:t>
      </w:r>
      <w:r w:rsidR="00EA6A75">
        <w:t>This process is essential and is supported by child death review teams</w:t>
      </w:r>
      <w:r w:rsidR="00B01D50">
        <w:t xml:space="preserve"> (CDRT)</w:t>
      </w:r>
      <w:r w:rsidR="00EA6A75">
        <w:t xml:space="preserve"> and the various specialty lenses</w:t>
      </w:r>
      <w:r w:rsidR="00B01D50">
        <w:t xml:space="preserve"> (</w:t>
      </w:r>
      <w:r w:rsidR="009F1BA3">
        <w:t>coroner’s office, office of education, child protective services, etc.)</w:t>
      </w:r>
      <w:r w:rsidR="00EA6A75">
        <w:t xml:space="preserve"> contributing the </w:t>
      </w:r>
      <w:r w:rsidR="00512B48">
        <w:rPr>
          <w:rFonts w:cstheme="minorHAnsi"/>
        </w:rPr>
        <w:t xml:space="preserve">overview </w:t>
      </w:r>
      <w:r w:rsidR="00B01D50">
        <w:rPr>
          <w:rFonts w:cstheme="minorHAnsi"/>
        </w:rPr>
        <w:t>of a</w:t>
      </w:r>
      <w:r w:rsidR="00512B48">
        <w:rPr>
          <w:rFonts w:cstheme="minorHAnsi"/>
        </w:rPr>
        <w:t xml:space="preserve"> child’s death.</w:t>
      </w:r>
      <w:r w:rsidR="009F1BA3">
        <w:rPr>
          <w:rFonts w:cstheme="minorHAnsi"/>
        </w:rPr>
        <w:t xml:space="preserve"> </w:t>
      </w:r>
      <w:r w:rsidR="00BC722B">
        <w:rPr>
          <w:rFonts w:cstheme="minorHAnsi"/>
        </w:rPr>
        <w:t>In the</w:t>
      </w:r>
      <w:r w:rsidR="009F1BA3">
        <w:rPr>
          <w:rFonts w:cstheme="minorHAnsi"/>
        </w:rPr>
        <w:t xml:space="preserve"> United States</w:t>
      </w:r>
      <w:r w:rsidR="00BC722B">
        <w:rPr>
          <w:rFonts w:cstheme="minorHAnsi"/>
        </w:rPr>
        <w:t xml:space="preserve"> most states</w:t>
      </w:r>
      <w:r w:rsidR="009F1BA3">
        <w:rPr>
          <w:rFonts w:cstheme="minorHAnsi"/>
        </w:rPr>
        <w:t xml:space="preserve"> partake in some form of CDRT, </w:t>
      </w:r>
      <w:r w:rsidR="006922B4">
        <w:rPr>
          <w:rFonts w:cstheme="minorHAnsi"/>
        </w:rPr>
        <w:t>whether</w:t>
      </w:r>
      <w:r w:rsidR="009F1BA3">
        <w:rPr>
          <w:rFonts w:cstheme="minorHAnsi"/>
        </w:rPr>
        <w:t xml:space="preserve"> they are required to report annually</w:t>
      </w:r>
      <w:r w:rsidR="00BC722B">
        <w:rPr>
          <w:rFonts w:cstheme="minorHAnsi"/>
        </w:rPr>
        <w:t xml:space="preserve">, this is essential to the overall reporting of childhood deaths across the </w:t>
      </w:r>
      <w:r w:rsidR="00BC722B" w:rsidRPr="006922B4">
        <w:rPr>
          <w:rFonts w:cstheme="minorHAnsi"/>
        </w:rPr>
        <w:t xml:space="preserve">nation </w:t>
      </w:r>
      <w:r w:rsidR="006922B4" w:rsidRPr="006922B4">
        <w:rPr>
          <w:rFonts w:cstheme="minorHAnsi"/>
        </w:rPr>
        <w:t>(Quinton, 2017).</w:t>
      </w:r>
      <w:r w:rsidR="006922B4" w:rsidRPr="00C36824">
        <w:rPr>
          <w:rFonts w:ascii="Arial" w:hAnsi="Arial" w:cs="Arial"/>
          <w:sz w:val="24"/>
          <w:szCs w:val="24"/>
        </w:rPr>
        <w:t xml:space="preserve"> </w:t>
      </w:r>
      <w:r w:rsidR="009F1BA3">
        <w:rPr>
          <w:rFonts w:cstheme="minorHAnsi"/>
        </w:rPr>
        <w:t xml:space="preserve"> </w:t>
      </w:r>
      <w:r w:rsidR="004515F5">
        <w:rPr>
          <w:rFonts w:cstheme="minorHAnsi"/>
        </w:rPr>
        <w:t xml:space="preserve">In addition, child mortality may also have a correlation to </w:t>
      </w:r>
      <w:r w:rsidR="00667077">
        <w:rPr>
          <w:rFonts w:cstheme="minorHAnsi"/>
        </w:rPr>
        <w:t>generational</w:t>
      </w:r>
      <w:r w:rsidR="004515F5">
        <w:rPr>
          <w:rFonts w:cstheme="minorHAnsi"/>
        </w:rPr>
        <w:t xml:space="preserve"> inequities, and thus can explain reasons for certain demographics of children</w:t>
      </w:r>
      <w:r w:rsidR="00DA18BA">
        <w:rPr>
          <w:rFonts w:cstheme="minorHAnsi"/>
        </w:rPr>
        <w:t xml:space="preserve"> who die</w:t>
      </w:r>
      <w:r w:rsidR="004515F5">
        <w:rPr>
          <w:rFonts w:cstheme="minorHAnsi"/>
        </w:rPr>
        <w:t xml:space="preserve"> and </w:t>
      </w:r>
      <w:r w:rsidR="00DA18BA">
        <w:rPr>
          <w:rFonts w:cstheme="minorHAnsi"/>
        </w:rPr>
        <w:t xml:space="preserve">why they </w:t>
      </w:r>
      <w:r w:rsidR="004515F5">
        <w:rPr>
          <w:rFonts w:cstheme="minorHAnsi"/>
        </w:rPr>
        <w:t xml:space="preserve">more impacted and susceptible to early deaths </w:t>
      </w:r>
      <w:r w:rsidR="000356C2" w:rsidRPr="000356C2">
        <w:rPr>
          <w:rFonts w:cstheme="minorHAnsi"/>
        </w:rPr>
        <w:t xml:space="preserve">(Hoyer et al., 2022).  </w:t>
      </w:r>
      <w:r w:rsidR="00DA18BA">
        <w:rPr>
          <w:rFonts w:cstheme="minorHAnsi"/>
        </w:rPr>
        <w:t>With that, adverse childhood events</w:t>
      </w:r>
      <w:r w:rsidR="000C029F">
        <w:rPr>
          <w:rFonts w:cstheme="minorHAnsi"/>
        </w:rPr>
        <w:t xml:space="preserve"> are also impactful due to the nature of </w:t>
      </w:r>
      <w:r w:rsidR="00032041">
        <w:rPr>
          <w:rFonts w:cstheme="minorHAnsi"/>
        </w:rPr>
        <w:t xml:space="preserve">these experiences associated with </w:t>
      </w:r>
      <w:r w:rsidR="00AC4E88">
        <w:rPr>
          <w:rFonts w:cstheme="minorHAnsi"/>
        </w:rPr>
        <w:t>long-term</w:t>
      </w:r>
      <w:r w:rsidR="00032041">
        <w:rPr>
          <w:rFonts w:cstheme="minorHAnsi"/>
        </w:rPr>
        <w:t xml:space="preserve"> </w:t>
      </w:r>
      <w:r w:rsidR="004A195C">
        <w:rPr>
          <w:rFonts w:cstheme="minorHAnsi"/>
        </w:rPr>
        <w:t xml:space="preserve">negative effects and trends of early childhood deaths </w:t>
      </w:r>
      <w:r w:rsidR="00CA495C" w:rsidRPr="00CA495C">
        <w:rPr>
          <w:rFonts w:cstheme="minorHAnsi"/>
        </w:rPr>
        <w:t>(</w:t>
      </w:r>
      <w:proofErr w:type="spellStart"/>
      <w:r w:rsidR="00CA495C" w:rsidRPr="00CA495C">
        <w:rPr>
          <w:rFonts w:cstheme="minorHAnsi"/>
        </w:rPr>
        <w:t>Finkelhor</w:t>
      </w:r>
      <w:proofErr w:type="spellEnd"/>
      <w:r w:rsidR="00CA495C" w:rsidRPr="00CA495C">
        <w:rPr>
          <w:rFonts w:cstheme="minorHAnsi"/>
        </w:rPr>
        <w:t>, 2020)</w:t>
      </w:r>
      <w:r w:rsidR="00CA495C">
        <w:rPr>
          <w:rFonts w:cstheme="minorHAnsi"/>
        </w:rPr>
        <w:t>.</w:t>
      </w:r>
    </w:p>
    <w:p w14:paraId="684D1797" w14:textId="12E9E198" w:rsidR="00667077" w:rsidRDefault="00667077" w:rsidP="00AC4E88">
      <w:pPr>
        <w:ind w:firstLine="720"/>
        <w:rPr>
          <w:rFonts w:cstheme="minorHAnsi"/>
        </w:rPr>
      </w:pPr>
      <w:r>
        <w:rPr>
          <w:rFonts w:cstheme="minorHAnsi"/>
        </w:rPr>
        <w:lastRenderedPageBreak/>
        <w:t xml:space="preserve">Child death reviews </w:t>
      </w:r>
      <w:r w:rsidR="00C922AC">
        <w:rPr>
          <w:rFonts w:cstheme="minorHAnsi"/>
        </w:rPr>
        <w:t xml:space="preserve">are the multidisciplinary review of individual child deaths to help communities understand why children die and equip them to effectively prevent future fatalities </w:t>
      </w:r>
      <w:r w:rsidR="00DA27BF" w:rsidRPr="00DA27BF">
        <w:rPr>
          <w:rFonts w:cstheme="minorHAnsi"/>
        </w:rPr>
        <w:t>(NCFRP, 2022).</w:t>
      </w:r>
      <w:r w:rsidR="00DA27BF">
        <w:rPr>
          <w:rFonts w:cstheme="minorHAnsi"/>
        </w:rPr>
        <w:t xml:space="preserve"> </w:t>
      </w:r>
      <w:r w:rsidR="001E3624" w:rsidRPr="001E3624">
        <w:rPr>
          <w:rFonts w:cstheme="minorHAnsi"/>
        </w:rPr>
        <w:t>CDRT’s have two main purposes, they are tasked in identifying and collecting data regarding the cause and manner or child deaths, and in providing prevention strategies to state or local agencies based on data collected (Quinton, 2017).</w:t>
      </w:r>
      <w:r w:rsidR="00805B10">
        <w:rPr>
          <w:rFonts w:cstheme="minorHAnsi"/>
        </w:rPr>
        <w:t xml:space="preserve"> Teams carry a huge burden </w:t>
      </w:r>
      <w:r w:rsidR="00E41C18">
        <w:rPr>
          <w:rFonts w:cstheme="minorHAnsi"/>
        </w:rPr>
        <w:t>regarding</w:t>
      </w:r>
      <w:r w:rsidR="00805B10">
        <w:rPr>
          <w:rFonts w:cstheme="minorHAnsi"/>
        </w:rPr>
        <w:t xml:space="preserve"> child death </w:t>
      </w:r>
      <w:r w:rsidR="00F12FD8">
        <w:rPr>
          <w:rFonts w:cstheme="minorHAnsi"/>
        </w:rPr>
        <w:t>reviews because their recommendations have immeasurable impacts for mortality rates among children</w:t>
      </w:r>
      <w:r w:rsidR="00AD335E">
        <w:rPr>
          <w:rFonts w:cstheme="minorHAnsi"/>
        </w:rPr>
        <w:t xml:space="preserve">, and the influence there is on initiatives that reduce these rates </w:t>
      </w:r>
      <w:r w:rsidR="009057E8" w:rsidRPr="009057E8">
        <w:rPr>
          <w:rFonts w:cstheme="minorHAnsi"/>
        </w:rPr>
        <w:t>(Webster et al., 2003).</w:t>
      </w:r>
      <w:r w:rsidR="00487BF0" w:rsidRPr="00487BF0">
        <w:rPr>
          <w:rFonts w:ascii="Arial" w:hAnsi="Arial" w:cs="Arial"/>
          <w:sz w:val="24"/>
          <w:szCs w:val="24"/>
        </w:rPr>
        <w:t xml:space="preserve"> </w:t>
      </w:r>
      <w:r w:rsidR="00487BF0" w:rsidRPr="00487BF0">
        <w:rPr>
          <w:rFonts w:cstheme="minorHAnsi"/>
        </w:rPr>
        <w:t>Child death reviews in public health have been some of the main sources of preventing child deaths through public policies that increase in safety and child protection and health promotion (Ornstein et al., 2013).</w:t>
      </w:r>
      <w:r w:rsidR="00981BA0">
        <w:rPr>
          <w:rFonts w:cstheme="minorHAnsi"/>
        </w:rPr>
        <w:t xml:space="preserve"> A collective action is needed for positive outcomes regarding injury prevention and risky behaviors among child deaths to thereby close gaps within communities who experience high incidences of child deaths</w:t>
      </w:r>
      <w:r w:rsidR="00B94266">
        <w:rPr>
          <w:rFonts w:cstheme="minorHAnsi"/>
        </w:rPr>
        <w:t xml:space="preserve"> </w:t>
      </w:r>
      <w:r w:rsidR="00112AD6" w:rsidRPr="00112AD6">
        <w:rPr>
          <w:rFonts w:cstheme="minorHAnsi"/>
        </w:rPr>
        <w:t>(Victora et al., 2003)</w:t>
      </w:r>
      <w:r w:rsidR="00112AD6">
        <w:rPr>
          <w:rFonts w:cstheme="minorHAnsi"/>
        </w:rPr>
        <w:t xml:space="preserve">. </w:t>
      </w:r>
      <w:r w:rsidR="008F4CE8">
        <w:rPr>
          <w:rFonts w:cstheme="minorHAnsi"/>
        </w:rPr>
        <w:t xml:space="preserve">This can be accomplished by also </w:t>
      </w:r>
      <w:r w:rsidR="00E04138">
        <w:rPr>
          <w:rFonts w:cstheme="minorHAnsi"/>
        </w:rPr>
        <w:t xml:space="preserve">including an equity focus during these overviews. </w:t>
      </w:r>
    </w:p>
    <w:p w14:paraId="28F83B0A" w14:textId="4141F19C" w:rsidR="00E04138" w:rsidRDefault="000243DB" w:rsidP="00AC4E88">
      <w:pPr>
        <w:ind w:firstLine="720"/>
        <w:rPr>
          <w:rFonts w:cstheme="minorHAnsi"/>
        </w:rPr>
      </w:pPr>
      <w:r>
        <w:rPr>
          <w:rFonts w:cstheme="minorHAnsi"/>
        </w:rPr>
        <w:t xml:space="preserve">Health equity can be defined as the opportunity in achieving one’s full health potential regardless of one’s social position (CDC, 2022). </w:t>
      </w:r>
      <w:r w:rsidR="0053676A">
        <w:rPr>
          <w:rFonts w:cstheme="minorHAnsi"/>
        </w:rPr>
        <w:t>Considering that health inequities are also connected to adverse childhood events, points to the damage these experiences have to one’s health and wellbeing</w:t>
      </w:r>
      <w:r w:rsidR="007B464E">
        <w:rPr>
          <w:rFonts w:cstheme="minorHAnsi"/>
        </w:rPr>
        <w:t xml:space="preserve"> </w:t>
      </w:r>
      <w:r w:rsidR="007B464E" w:rsidRPr="007B464E">
        <w:rPr>
          <w:rFonts w:cstheme="minorHAnsi"/>
        </w:rPr>
        <w:t>(</w:t>
      </w:r>
      <w:proofErr w:type="spellStart"/>
      <w:r w:rsidR="007B464E" w:rsidRPr="007B464E">
        <w:rPr>
          <w:rFonts w:cstheme="minorHAnsi"/>
        </w:rPr>
        <w:t>Finkelhor</w:t>
      </w:r>
      <w:proofErr w:type="spellEnd"/>
      <w:r w:rsidR="007B464E" w:rsidRPr="007B464E">
        <w:rPr>
          <w:rFonts w:cstheme="minorHAnsi"/>
        </w:rPr>
        <w:t xml:space="preserve">, 2020; </w:t>
      </w:r>
      <w:proofErr w:type="spellStart"/>
      <w:r w:rsidR="007B464E" w:rsidRPr="007B464E">
        <w:rPr>
          <w:rFonts w:cstheme="minorHAnsi"/>
        </w:rPr>
        <w:t>Lensch</w:t>
      </w:r>
      <w:proofErr w:type="spellEnd"/>
      <w:r w:rsidR="007B464E" w:rsidRPr="007B464E">
        <w:rPr>
          <w:rFonts w:cstheme="minorHAnsi"/>
        </w:rPr>
        <w:t xml:space="preserve"> et al., 2020).</w:t>
      </w:r>
      <w:r w:rsidR="007B464E">
        <w:rPr>
          <w:rFonts w:cstheme="minorHAnsi"/>
        </w:rPr>
        <w:t xml:space="preserve"> The assessment of health inequities among children have been shown to measure the disparities in school attendance, mental health difficulties, and depression among the several measurements related to equity metrics (Anderson &amp; Zimmerman, 2021). </w:t>
      </w:r>
      <w:r w:rsidR="00EB27F4">
        <w:rPr>
          <w:rFonts w:cstheme="minorHAnsi"/>
        </w:rPr>
        <w:t>Additionally, defining the parameters of what health equity is and the interactions between mortality rates among children can highlight guidelines in advancing health equity (Montoya-Williams et al., 2020).</w:t>
      </w:r>
      <w:r w:rsidR="00BD6009">
        <w:rPr>
          <w:rFonts w:cstheme="minorHAnsi"/>
        </w:rPr>
        <w:t xml:space="preserve"> Although health equity has been a recent phenomenon recognized by public health, the remnants of these impacts have created a new category for why certain health issues occur, and the historical roots to such indifferences</w:t>
      </w:r>
      <w:r w:rsidR="0012449F">
        <w:rPr>
          <w:rFonts w:cstheme="minorHAnsi"/>
        </w:rPr>
        <w:t xml:space="preserve"> </w:t>
      </w:r>
      <w:r w:rsidR="00E16E5A" w:rsidRPr="00E16E5A">
        <w:rPr>
          <w:rFonts w:cstheme="minorHAnsi"/>
        </w:rPr>
        <w:t>(Woolf, 2017)</w:t>
      </w:r>
      <w:r w:rsidR="00BD6009">
        <w:rPr>
          <w:rFonts w:cstheme="minorHAnsi"/>
        </w:rPr>
        <w:t xml:space="preserve">. </w:t>
      </w:r>
    </w:p>
    <w:p w14:paraId="351A0BD9" w14:textId="6377BFDD" w:rsidR="00194F8A" w:rsidRDefault="00194F8A" w:rsidP="00AC4E88">
      <w:pPr>
        <w:ind w:firstLine="720"/>
        <w:rPr>
          <w:rFonts w:cstheme="minorHAnsi"/>
        </w:rPr>
      </w:pPr>
      <w:r>
        <w:rPr>
          <w:rFonts w:cstheme="minorHAnsi"/>
        </w:rPr>
        <w:t xml:space="preserve">El Dorado County is comprised of both </w:t>
      </w:r>
      <w:r w:rsidR="000F7836">
        <w:rPr>
          <w:rFonts w:cstheme="minorHAnsi"/>
        </w:rPr>
        <w:t xml:space="preserve">rural </w:t>
      </w:r>
      <w:r w:rsidR="00AE7FC8">
        <w:rPr>
          <w:rFonts w:cstheme="minorHAnsi"/>
        </w:rPr>
        <w:t>areas throughout the county</w:t>
      </w:r>
      <w:r w:rsidR="0064314E">
        <w:rPr>
          <w:rFonts w:cstheme="minorHAnsi"/>
        </w:rPr>
        <w:t xml:space="preserve"> </w:t>
      </w:r>
      <w:r w:rsidR="004B1632">
        <w:rPr>
          <w:rFonts w:cstheme="minorHAnsi"/>
        </w:rPr>
        <w:t>and</w:t>
      </w:r>
      <w:r w:rsidR="0064314E">
        <w:rPr>
          <w:rFonts w:cstheme="minorHAnsi"/>
        </w:rPr>
        <w:t xml:space="preserve"> </w:t>
      </w:r>
      <w:proofErr w:type="spellStart"/>
      <w:r w:rsidR="001A2CEC">
        <w:rPr>
          <w:rFonts w:cstheme="minorHAnsi"/>
        </w:rPr>
        <w:t>a</w:t>
      </w:r>
      <w:r w:rsidR="0064314E">
        <w:rPr>
          <w:rFonts w:cstheme="minorHAnsi"/>
        </w:rPr>
        <w:t>part</w:t>
      </w:r>
      <w:proofErr w:type="spellEnd"/>
      <w:r w:rsidR="00BF4E08">
        <w:rPr>
          <w:rFonts w:cstheme="minorHAnsi"/>
        </w:rPr>
        <w:t xml:space="preserve"> of the </w:t>
      </w:r>
      <w:r w:rsidR="00E467A2">
        <w:rPr>
          <w:rFonts w:cstheme="minorHAnsi"/>
        </w:rPr>
        <w:t>Sacramento</w:t>
      </w:r>
      <w:r w:rsidR="00BF4E08">
        <w:rPr>
          <w:rFonts w:cstheme="minorHAnsi"/>
        </w:rPr>
        <w:t xml:space="preserve"> metropolitan area</w:t>
      </w:r>
      <w:r w:rsidR="0064314E">
        <w:rPr>
          <w:rFonts w:cstheme="minorHAnsi"/>
        </w:rPr>
        <w:t xml:space="preserve"> in the west</w:t>
      </w:r>
      <w:r w:rsidR="001A2CEC">
        <w:rPr>
          <w:rFonts w:cstheme="minorHAnsi"/>
        </w:rPr>
        <w:t>ern most part of the county</w:t>
      </w:r>
      <w:r w:rsidR="0032070A">
        <w:rPr>
          <w:rFonts w:cstheme="minorHAnsi"/>
        </w:rPr>
        <w:t xml:space="preserve"> (welldorado.org)</w:t>
      </w:r>
      <w:r w:rsidR="0064314E">
        <w:rPr>
          <w:rFonts w:cstheme="minorHAnsi"/>
        </w:rPr>
        <w:t xml:space="preserve">. The </w:t>
      </w:r>
      <w:r w:rsidR="00A6272D">
        <w:rPr>
          <w:rFonts w:cstheme="minorHAnsi"/>
        </w:rPr>
        <w:t>very eastern area</w:t>
      </w:r>
      <w:r w:rsidR="0064314E">
        <w:rPr>
          <w:rFonts w:cstheme="minorHAnsi"/>
        </w:rPr>
        <w:t xml:space="preserve"> is the South Lake Tahoe region, where the demographics have a higher Hispanic</w:t>
      </w:r>
      <w:r w:rsidR="00891A53">
        <w:rPr>
          <w:rFonts w:cstheme="minorHAnsi"/>
        </w:rPr>
        <w:t xml:space="preserve"> population, whereas the rest of the county is mostly comprised of White population. </w:t>
      </w:r>
      <w:r w:rsidR="002266C6">
        <w:rPr>
          <w:rFonts w:cstheme="minorHAnsi"/>
        </w:rPr>
        <w:t>El Dorado County has had a steady increase in population over the years</w:t>
      </w:r>
      <w:r w:rsidR="00E425DE">
        <w:rPr>
          <w:rFonts w:cstheme="minorHAnsi"/>
        </w:rPr>
        <w:t xml:space="preserve"> as well as increases in diverse populations</w:t>
      </w:r>
      <w:r w:rsidR="00F37337">
        <w:rPr>
          <w:rFonts w:cstheme="minorHAnsi"/>
        </w:rPr>
        <w:t xml:space="preserve"> (</w:t>
      </w:r>
      <w:proofErr w:type="spellStart"/>
      <w:r w:rsidR="00F37337">
        <w:rPr>
          <w:rFonts w:cstheme="minorHAnsi"/>
        </w:rPr>
        <w:t>uscensus</w:t>
      </w:r>
      <w:proofErr w:type="spellEnd"/>
      <w:r w:rsidR="00F37337">
        <w:rPr>
          <w:rFonts w:cstheme="minorHAnsi"/>
        </w:rPr>
        <w:t>)</w:t>
      </w:r>
      <w:r w:rsidR="00A474E8">
        <w:rPr>
          <w:rFonts w:cstheme="minorHAnsi"/>
        </w:rPr>
        <w:t xml:space="preserve">. </w:t>
      </w:r>
      <w:r w:rsidR="00FD6FFC">
        <w:rPr>
          <w:rFonts w:cstheme="minorHAnsi"/>
        </w:rPr>
        <w:t>According to t</w:t>
      </w:r>
      <w:r w:rsidR="00013C40">
        <w:rPr>
          <w:rFonts w:cstheme="minorHAnsi"/>
        </w:rPr>
        <w:t>he U.S. Census Bureau</w:t>
      </w:r>
      <w:r w:rsidR="00FD6FFC">
        <w:rPr>
          <w:rFonts w:cstheme="minorHAnsi"/>
        </w:rPr>
        <w:t xml:space="preserve">, there was </w:t>
      </w:r>
      <w:r w:rsidR="008236D2">
        <w:rPr>
          <w:rFonts w:cstheme="minorHAnsi"/>
        </w:rPr>
        <w:t>7% increase in population from 2012 to 2021</w:t>
      </w:r>
      <w:r w:rsidR="009C6BAF">
        <w:rPr>
          <w:rFonts w:cstheme="minorHAnsi"/>
        </w:rPr>
        <w:t xml:space="preserve"> in El Dorado County. </w:t>
      </w:r>
      <w:r w:rsidR="00DA2E3E">
        <w:rPr>
          <w:rFonts w:cstheme="minorHAnsi"/>
        </w:rPr>
        <w:t xml:space="preserve">As of 2021, </w:t>
      </w:r>
      <w:r w:rsidR="00BF2644">
        <w:rPr>
          <w:rFonts w:cstheme="minorHAnsi"/>
        </w:rPr>
        <w:t xml:space="preserve">76% of the population </w:t>
      </w:r>
      <w:r w:rsidR="00647F5A">
        <w:rPr>
          <w:rFonts w:cstheme="minorHAnsi"/>
        </w:rPr>
        <w:t>was</w:t>
      </w:r>
      <w:r w:rsidR="00BF2644">
        <w:rPr>
          <w:rFonts w:cstheme="minorHAnsi"/>
        </w:rPr>
        <w:t xml:space="preserve"> Non-Hispanic White</w:t>
      </w:r>
      <w:r w:rsidR="00647F5A">
        <w:rPr>
          <w:rFonts w:cstheme="minorHAnsi"/>
        </w:rPr>
        <w:t>,</w:t>
      </w:r>
      <w:r w:rsidR="00886A4A">
        <w:rPr>
          <w:rFonts w:cstheme="minorHAnsi"/>
        </w:rPr>
        <w:t xml:space="preserve"> 13.7%</w:t>
      </w:r>
      <w:r w:rsidR="006C597B">
        <w:rPr>
          <w:rFonts w:cstheme="minorHAnsi"/>
        </w:rPr>
        <w:t xml:space="preserve"> were Hispanic,</w:t>
      </w:r>
      <w:r w:rsidR="00020B07">
        <w:rPr>
          <w:rFonts w:cstheme="minorHAnsi"/>
        </w:rPr>
        <w:t xml:space="preserve"> 5.7% were Asian,</w:t>
      </w:r>
      <w:r w:rsidR="006C597B">
        <w:rPr>
          <w:rFonts w:cstheme="minorHAnsi"/>
        </w:rPr>
        <w:t xml:space="preserve"> </w:t>
      </w:r>
      <w:r w:rsidR="00FE089C">
        <w:rPr>
          <w:rFonts w:cstheme="minorHAnsi"/>
        </w:rPr>
        <w:t xml:space="preserve">0.8% were American Indian and Alaskan Native, </w:t>
      </w:r>
      <w:r w:rsidR="009B6AB1">
        <w:rPr>
          <w:rFonts w:cstheme="minorHAnsi"/>
        </w:rPr>
        <w:t xml:space="preserve">0.7% were Non-Hispanic Black, </w:t>
      </w:r>
      <w:r w:rsidR="00BE2BE6">
        <w:rPr>
          <w:rFonts w:cstheme="minorHAnsi"/>
        </w:rPr>
        <w:t xml:space="preserve">and </w:t>
      </w:r>
      <w:r w:rsidR="00633C44">
        <w:rPr>
          <w:rFonts w:cstheme="minorHAnsi"/>
        </w:rPr>
        <w:t>overall,</w:t>
      </w:r>
      <w:r w:rsidR="00BE2BE6">
        <w:rPr>
          <w:rFonts w:cstheme="minorHAnsi"/>
        </w:rPr>
        <w:t xml:space="preserve"> there were about </w:t>
      </w:r>
      <w:r w:rsidR="004A6888">
        <w:rPr>
          <w:rFonts w:cstheme="minorHAnsi"/>
        </w:rPr>
        <w:t xml:space="preserve">11.7% of the population that were two or more races. </w:t>
      </w:r>
      <w:r w:rsidR="005F44DA">
        <w:rPr>
          <w:rFonts w:cstheme="minorHAnsi"/>
        </w:rPr>
        <w:t xml:space="preserve">Children make up about 19% of the total population of El Dorado County, and from 2012 to 2021 there was </w:t>
      </w:r>
      <w:r w:rsidR="004B7A55">
        <w:rPr>
          <w:rFonts w:cstheme="minorHAnsi"/>
        </w:rPr>
        <w:t>3.7% decrease in the population of children aged 0 to 19 years old</w:t>
      </w:r>
      <w:r w:rsidR="00BB29F6">
        <w:rPr>
          <w:rFonts w:cstheme="minorHAnsi"/>
        </w:rPr>
        <w:t xml:space="preserve">. </w:t>
      </w:r>
    </w:p>
    <w:p w14:paraId="6900347E" w14:textId="2352F0CF" w:rsidR="00423334" w:rsidRPr="001D0B30" w:rsidRDefault="000D3CFB">
      <w:pPr>
        <w:rPr>
          <w:b/>
          <w:bCs/>
        </w:rPr>
      </w:pPr>
      <w:r w:rsidRPr="001D0B30">
        <w:rPr>
          <w:b/>
          <w:bCs/>
        </w:rPr>
        <w:t>Methods</w:t>
      </w:r>
    </w:p>
    <w:p w14:paraId="7EC7B2F2" w14:textId="4B3D3F93" w:rsidR="0067688F" w:rsidRDefault="00131671" w:rsidP="00AC4E88">
      <w:pPr>
        <w:ind w:firstLine="720"/>
      </w:pPr>
      <w:r>
        <w:t>We conducted a retrospective</w:t>
      </w:r>
      <w:r w:rsidR="002C20F4">
        <w:t xml:space="preserve"> </w:t>
      </w:r>
      <w:r w:rsidR="00F22056">
        <w:t>population-based</w:t>
      </w:r>
      <w:r w:rsidR="002C20F4">
        <w:t xml:space="preserve"> </w:t>
      </w:r>
      <w:r w:rsidR="00D05688">
        <w:t>study and</w:t>
      </w:r>
      <w:r>
        <w:t xml:space="preserve"> looked</w:t>
      </w:r>
      <w:r w:rsidR="002C20F4">
        <w:t xml:space="preserve"> at resident</w:t>
      </w:r>
      <w:r>
        <w:t>ial</w:t>
      </w:r>
      <w:r w:rsidR="002C20F4">
        <w:t xml:space="preserve"> and non-residential deaths that occurred in El Dorado County among children 19 years of age and younger</w:t>
      </w:r>
      <w:r w:rsidR="00316B6A">
        <w:t xml:space="preserve"> between the years 2012 and 2020. </w:t>
      </w:r>
      <w:r w:rsidR="007311E6">
        <w:t xml:space="preserve">The definition of child deaths require </w:t>
      </w:r>
      <w:r w:rsidR="003F3008">
        <w:t xml:space="preserve">familiarity with manners and causes of </w:t>
      </w:r>
      <w:r w:rsidR="00D642DD">
        <w:t>death (</w:t>
      </w:r>
      <w:r w:rsidR="00423BC3">
        <w:t>appendix A</w:t>
      </w:r>
      <w:r w:rsidR="00D724CF">
        <w:t xml:space="preserve"> for manner of death</w:t>
      </w:r>
      <w:r w:rsidR="00423BC3">
        <w:t>)</w:t>
      </w:r>
      <w:r w:rsidR="003F3008">
        <w:t xml:space="preserve"> and other known risk factors that may have</w:t>
      </w:r>
      <w:r w:rsidR="009B36AB">
        <w:t xml:space="preserve"> been a cause for a child’s death. </w:t>
      </w:r>
    </w:p>
    <w:p w14:paraId="7DE25A68" w14:textId="2A42869A" w:rsidR="00877186" w:rsidRPr="005238D6" w:rsidRDefault="00877186">
      <w:pPr>
        <w:rPr>
          <w:i/>
          <w:iCs/>
        </w:rPr>
      </w:pPr>
      <w:r w:rsidRPr="005238D6">
        <w:rPr>
          <w:i/>
          <w:iCs/>
        </w:rPr>
        <w:t>Data Sources</w:t>
      </w:r>
    </w:p>
    <w:p w14:paraId="4EC3EF0A" w14:textId="0AABAB9F" w:rsidR="00E66BCA" w:rsidRDefault="005D7AFE" w:rsidP="00AC4E88">
      <w:pPr>
        <w:ind w:firstLine="720"/>
      </w:pPr>
      <w:r>
        <w:lastRenderedPageBreak/>
        <w:t xml:space="preserve">We used a combination of gathering </w:t>
      </w:r>
      <w:r w:rsidR="00131671">
        <w:t xml:space="preserve">child </w:t>
      </w:r>
      <w:r>
        <w:t>death data from</w:t>
      </w:r>
      <w:r w:rsidR="00131671">
        <w:t xml:space="preserve"> the</w:t>
      </w:r>
      <w:r>
        <w:t xml:space="preserve"> California Integrated Vital Records System (Cal-IVRS)</w:t>
      </w:r>
      <w:r w:rsidR="00131671">
        <w:t xml:space="preserve">. </w:t>
      </w:r>
      <w:r w:rsidR="00E66BCA">
        <w:t>We also utilized information gathering from partners within MDRT to further expand the scope of a child’s death</w:t>
      </w:r>
      <w:r w:rsidR="0054088B">
        <w:t xml:space="preserve"> from El Dorado County Sherriff’s office, El Dorado County Office of Education, Child Protective Services, El Dorado County Probation, </w:t>
      </w:r>
      <w:r w:rsidR="003401B4">
        <w:t xml:space="preserve">El Dorado County Coroner’s office, and El Dorado County Public Health Agency. </w:t>
      </w:r>
      <w:r w:rsidR="000E2B3C">
        <w:t>Case information is entered into our county’s central database</w:t>
      </w:r>
      <w:r w:rsidR="0083188C">
        <w:t xml:space="preserve"> for child deaths and used primarily from the counties public health agency for further analysis. </w:t>
      </w:r>
      <w:r w:rsidR="000D2EA6">
        <w:t>Moe importantly we gathered identifiable data through birth and death certificates</w:t>
      </w:r>
      <w:r w:rsidR="00045475">
        <w:t xml:space="preserve"> and those included </w:t>
      </w:r>
      <w:r w:rsidR="00AC4E88">
        <w:t>were</w:t>
      </w:r>
      <w:r w:rsidR="00045475">
        <w:t xml:space="preserve"> age, gender, race/ethnicity, zip code, county of residence, manner of death, and </w:t>
      </w:r>
      <w:r w:rsidR="000C456D">
        <w:t xml:space="preserve">cause of death. </w:t>
      </w:r>
    </w:p>
    <w:p w14:paraId="046BD3E8" w14:textId="1F648170" w:rsidR="00727CFF" w:rsidRDefault="00D05688" w:rsidP="00AC4E88">
      <w:pPr>
        <w:ind w:firstLine="720"/>
      </w:pPr>
      <w:r>
        <w:t>The deaths are categorized by accident, suicide, homicide, and natural manners of death with some cases that may still be pending and some that could not be determined. The county population was stratified by gender (male or female), age (&lt;1, 1-4, 5-9, 10-14, 15-17, and 18-19), race and ethnicity (</w:t>
      </w:r>
      <w:r w:rsidR="00C01BED">
        <w:t>NH White, NH Black, NH American Indian/Alaskan Native, NH Asian, 2 or more races, Hispanic, and Unknown</w:t>
      </w:r>
      <w:r>
        <w:t xml:space="preserve">), resident or non-resident, and equity status (ranging from 1-5, 0 being those with more income equality and 5 those with more income inequality, while 0 for those out of county and not able to gather that information).  </w:t>
      </w:r>
      <w:r w:rsidR="00A8254D">
        <w:t>The county population data was obtained using data from the US Census B</w:t>
      </w:r>
      <w:r w:rsidR="00747201">
        <w:t xml:space="preserve">ureau. </w:t>
      </w:r>
    </w:p>
    <w:p w14:paraId="22787C26" w14:textId="22D94317" w:rsidR="00690F2F" w:rsidRDefault="00C01BED" w:rsidP="000D1928">
      <w:pPr>
        <w:ind w:firstLine="720"/>
      </w:pPr>
      <w:r>
        <w:t>We used the health indicator of income inequality to measure the equality in the population of El Dorado County and whether this indicator has a correlation to the child deaths in the county from 2012 to 2020</w:t>
      </w:r>
      <w:r w:rsidR="007245F4">
        <w:t xml:space="preserve"> (welldorado.org)</w:t>
      </w:r>
      <w:r>
        <w:t>. It is</w:t>
      </w:r>
      <w:r w:rsidR="00C9787D">
        <w:t xml:space="preserve"> well</w:t>
      </w:r>
      <w:r>
        <w:t xml:space="preserve"> known that income inequality is strongly associated with an individual’s health status and socioeconomic status. </w:t>
      </w:r>
      <w:r w:rsidR="007075E9">
        <w:t>To estimate each case to income inequality I used the county’s website that used the Gini coefficient to measure income inequality by zip code (welldorado</w:t>
      </w:r>
      <w:r w:rsidR="00690F2F">
        <w:t>.org</w:t>
      </w:r>
      <w:r w:rsidR="007075E9">
        <w:t>). Also utilizing California’s Healthy Places Index (HPI) we can see that the county has an HPI score in 39.9</w:t>
      </w:r>
      <w:r w:rsidR="007075E9" w:rsidRPr="007075E9">
        <w:rPr>
          <w:vertAlign w:val="superscript"/>
        </w:rPr>
        <w:t>th</w:t>
      </w:r>
      <w:r w:rsidR="007075E9">
        <w:t xml:space="preserve"> percentile, indicating that </w:t>
      </w:r>
      <w:r w:rsidR="00690F2F">
        <w:t>overall,</w:t>
      </w:r>
      <w:r w:rsidR="007075E9">
        <w:t xml:space="preserve"> the county is on the lesser side of a health</w:t>
      </w:r>
      <w:r w:rsidR="00202FE1">
        <w:t>y</w:t>
      </w:r>
      <w:r w:rsidR="007075E9">
        <w:t xml:space="preserve"> community. </w:t>
      </w:r>
      <w:r w:rsidR="009F7A40">
        <w:t xml:space="preserve">The key strategies are to </w:t>
      </w:r>
      <w:r w:rsidR="00B92982">
        <w:t xml:space="preserve">provide prevention to </w:t>
      </w:r>
      <w:r w:rsidR="0043788C">
        <w:t xml:space="preserve">El Dorado County child deaths by looking to the equity measures and geographic regions that may influence </w:t>
      </w:r>
      <w:r w:rsidR="00690F2F">
        <w:t xml:space="preserve">a child’s death. </w:t>
      </w:r>
    </w:p>
    <w:p w14:paraId="03E262F0" w14:textId="77777777" w:rsidR="000D1928" w:rsidRDefault="006A5A5C" w:rsidP="00B04C66">
      <w:pPr>
        <w:tabs>
          <w:tab w:val="left" w:pos="1926"/>
        </w:tabs>
        <w:rPr>
          <w:i/>
          <w:iCs/>
        </w:rPr>
      </w:pPr>
      <w:r w:rsidRPr="005238D6">
        <w:rPr>
          <w:i/>
          <w:iCs/>
        </w:rPr>
        <w:t>Measures</w:t>
      </w:r>
    </w:p>
    <w:p w14:paraId="0B0389D5" w14:textId="023D1E87" w:rsidR="00B04C66" w:rsidRPr="00A36889" w:rsidRDefault="00747201" w:rsidP="000D1928">
      <w:pPr>
        <w:tabs>
          <w:tab w:val="left" w:pos="1926"/>
        </w:tabs>
        <w:rPr>
          <w:i/>
          <w:iCs/>
        </w:rPr>
      </w:pPr>
      <w:r>
        <w:t xml:space="preserve">The study outcome was </w:t>
      </w:r>
      <w:r w:rsidR="00284D93">
        <w:t xml:space="preserve">to </w:t>
      </w:r>
      <w:r>
        <w:t xml:space="preserve">observe the relationship there is between </w:t>
      </w:r>
      <w:r w:rsidR="00BA4AB5">
        <w:t xml:space="preserve">health equity and </w:t>
      </w:r>
      <w:r w:rsidR="004633BC">
        <w:t xml:space="preserve">child deaths, while also looking at geographic residence per child. It is well known that </w:t>
      </w:r>
      <w:r w:rsidR="00D22789">
        <w:t xml:space="preserve">equity is directly related to income inequality, and thus we </w:t>
      </w:r>
      <w:r w:rsidR="004A04AA">
        <w:t xml:space="preserve">used </w:t>
      </w:r>
      <w:r w:rsidR="007D3B40">
        <w:t xml:space="preserve">information gathered by our </w:t>
      </w:r>
      <w:r w:rsidR="006B030A">
        <w:t xml:space="preserve">county’s partner with </w:t>
      </w:r>
      <w:r w:rsidR="004B6644">
        <w:t xml:space="preserve">Conduent, who provides the county with health indicators, such as income inequality. </w:t>
      </w:r>
      <w:r w:rsidR="00284D93">
        <w:t xml:space="preserve">The measure used to </w:t>
      </w:r>
      <w:r w:rsidR="009E320B">
        <w:t>calculate</w:t>
      </w:r>
      <w:r w:rsidR="00284D93">
        <w:t xml:space="preserve"> income inequality was</w:t>
      </w:r>
      <w:r w:rsidR="0056065A">
        <w:t xml:space="preserve"> the</w:t>
      </w:r>
      <w:r w:rsidR="00284D93">
        <w:t xml:space="preserve"> Gini coefficient</w:t>
      </w:r>
      <w:r w:rsidR="00C70EE1">
        <w:t xml:space="preserve"> and was done for regions of the coun</w:t>
      </w:r>
      <w:r w:rsidR="0058760D">
        <w:t xml:space="preserve">ty and zip code. </w:t>
      </w:r>
      <w:r w:rsidR="00365731">
        <w:t xml:space="preserve">The range of the coefficient is between 0 and 1, where 0 </w:t>
      </w:r>
      <w:r w:rsidR="00DD3639">
        <w:t xml:space="preserve">indicates complete equality and 1 indicates complete inequality (welldorado.org). </w:t>
      </w:r>
      <w:r w:rsidR="00612090">
        <w:t>For the purpose</w:t>
      </w:r>
      <w:r w:rsidR="00F24B81">
        <w:t>s</w:t>
      </w:r>
      <w:r w:rsidR="00612090">
        <w:t xml:space="preserve"> of the study, the inequity </w:t>
      </w:r>
      <w:r w:rsidR="00F24B81">
        <w:t xml:space="preserve">has values between 1 and 5, where 1 means complete equity and 5 means complete inequity, due to variability over </w:t>
      </w:r>
      <w:r w:rsidR="00A25B48">
        <w:t xml:space="preserve">the 10 years of data. </w:t>
      </w:r>
      <w:r w:rsidR="002E2CF9">
        <w:t>Twenty-seven</w:t>
      </w:r>
      <w:r w:rsidR="007D7CED">
        <w:t xml:space="preserve"> of these deaths were out-of-county residents and the income inequality data </w:t>
      </w:r>
      <w:r w:rsidR="00881A87">
        <w:t xml:space="preserve">could not be calculated. </w:t>
      </w:r>
      <w:r w:rsidR="002F131B">
        <w:t xml:space="preserve">Additionally, El Dorado County’s </w:t>
      </w:r>
      <w:r w:rsidR="00CB4ED0">
        <w:t>website (welldorado.org</w:t>
      </w:r>
      <w:r w:rsidR="00E306CD">
        <w:t xml:space="preserve">) geographically </w:t>
      </w:r>
      <w:r w:rsidR="00CF6697">
        <w:t xml:space="preserve">locates health equity status of the </w:t>
      </w:r>
      <w:r w:rsidR="001865BB">
        <w:t>county and</w:t>
      </w:r>
      <w:r w:rsidR="000716CD">
        <w:t xml:space="preserve"> has such information as far back as 2014</w:t>
      </w:r>
      <w:r w:rsidR="007C1031">
        <w:t xml:space="preserve"> to the present, 2023 (welldorado). Using this tool allows us to expand our scope on </w:t>
      </w:r>
      <w:r w:rsidR="00311DAE">
        <w:t xml:space="preserve">El Dorado County child deaths </w:t>
      </w:r>
      <w:r w:rsidR="007C1031">
        <w:t xml:space="preserve">and the needs of the community that may be impacted due to </w:t>
      </w:r>
      <w:r w:rsidR="00311DAE">
        <w:t xml:space="preserve">poor health equity. </w:t>
      </w:r>
      <w:r w:rsidR="007C1031">
        <w:t xml:space="preserve"> </w:t>
      </w:r>
    </w:p>
    <w:p w14:paraId="3BDDBDFB" w14:textId="1116B36E" w:rsidR="006A5A5C" w:rsidRDefault="00930ABD" w:rsidP="000D1928">
      <w:pPr>
        <w:ind w:firstLine="720"/>
      </w:pPr>
      <w:r>
        <w:t xml:space="preserve">Crude mortality rates were calculated per 100 000 people and were calculated using </w:t>
      </w:r>
      <w:r w:rsidR="00A64979">
        <w:t xml:space="preserve">the U.S. Census demographic estimates for each year. </w:t>
      </w:r>
      <w:r w:rsidR="00810280">
        <w:t xml:space="preserve">These estimates were used for each year </w:t>
      </w:r>
      <w:r w:rsidR="00AD06B8">
        <w:t xml:space="preserve">from 2012 to 2021 for the county of El Dorado. </w:t>
      </w:r>
      <w:r w:rsidR="00230F18">
        <w:t xml:space="preserve">Rates were calculated for all causes and manner of </w:t>
      </w:r>
      <w:r w:rsidR="000D1928">
        <w:t>death,</w:t>
      </w:r>
      <w:r w:rsidR="00230F18">
        <w:t xml:space="preserve"> by </w:t>
      </w:r>
      <w:r w:rsidR="00E67023">
        <w:t>equi</w:t>
      </w:r>
      <w:r w:rsidR="000C5C6B">
        <w:t>ty</w:t>
      </w:r>
      <w:r w:rsidR="00EA7409">
        <w:t xml:space="preserve"> </w:t>
      </w:r>
      <w:r w:rsidR="00EA7409">
        <w:lastRenderedPageBreak/>
        <w:t>and</w:t>
      </w:r>
      <w:r w:rsidR="00E67023">
        <w:t xml:space="preserve"> income inequality. </w:t>
      </w:r>
      <w:r w:rsidR="00975ABE">
        <w:t xml:space="preserve">According to California’s Health places Index (HPI), </w:t>
      </w:r>
      <w:r w:rsidR="00313B8C">
        <w:t>El Dorado County</w:t>
      </w:r>
      <w:r w:rsidR="00975ABE">
        <w:t xml:space="preserve"> </w:t>
      </w:r>
      <w:r w:rsidR="00070D4D">
        <w:t>has</w:t>
      </w:r>
      <w:r w:rsidR="00975ABE">
        <w:t xml:space="preserve"> 39.9% healthier community conditions than other California tracts. </w:t>
      </w:r>
      <w:r w:rsidR="00AA7284">
        <w:t>The county has a</w:t>
      </w:r>
      <w:r w:rsidR="0031349D">
        <w:t xml:space="preserve"> very low equity </w:t>
      </w:r>
      <w:r w:rsidR="00510126">
        <w:t>status for the</w:t>
      </w:r>
      <w:r w:rsidR="00EA02C1">
        <w:t xml:space="preserve"> </w:t>
      </w:r>
      <w:r w:rsidR="0031349D">
        <w:t>race/ethnicity diversity</w:t>
      </w:r>
      <w:r w:rsidR="00EA02C1">
        <w:t xml:space="preserve"> indicator with a value of 25.7% or an 8.8 percentile ranking among the state. </w:t>
      </w:r>
    </w:p>
    <w:p w14:paraId="56399290" w14:textId="369AC5A9" w:rsidR="00A66C42" w:rsidRDefault="00A66C42">
      <w:pPr>
        <w:rPr>
          <w:b/>
          <w:bCs/>
        </w:rPr>
      </w:pPr>
      <w:r>
        <w:rPr>
          <w:b/>
          <w:bCs/>
        </w:rPr>
        <w:t>Results</w:t>
      </w:r>
    </w:p>
    <w:p w14:paraId="6A9DA402" w14:textId="08696510" w:rsidR="003B7F52" w:rsidRDefault="003B7F52">
      <w:pPr>
        <w:rPr>
          <w:i/>
          <w:iCs/>
        </w:rPr>
      </w:pPr>
      <w:r>
        <w:rPr>
          <w:i/>
          <w:iCs/>
        </w:rPr>
        <w:t>Demographic Characteristics</w:t>
      </w:r>
    </w:p>
    <w:p w14:paraId="4E56BEE6" w14:textId="59B14B5D" w:rsidR="009529EC" w:rsidRPr="003B7F52" w:rsidRDefault="009529EC">
      <w:pPr>
        <w:rPr>
          <w:i/>
          <w:iCs/>
        </w:rPr>
      </w:pPr>
      <w:r>
        <w:rPr>
          <w:i/>
          <w:iCs/>
        </w:rPr>
        <w:t>From 2012 to 2021, there were 164 deaths among children 0 to 19 years of age in El Dorado County. /</w:t>
      </w:r>
      <w:proofErr w:type="gramStart"/>
      <w:r>
        <w:rPr>
          <w:i/>
          <w:iCs/>
        </w:rPr>
        <w:t>the</w:t>
      </w:r>
      <w:proofErr w:type="gramEnd"/>
      <w:r>
        <w:rPr>
          <w:i/>
          <w:iCs/>
        </w:rPr>
        <w:t xml:space="preserve"> child deaths comprised of 103 males and 61 females. Among age groups, the highest age group to experience deaths were infants &lt;1 years old with 50 deaths, 43 deaths were</w:t>
      </w:r>
    </w:p>
    <w:p w14:paraId="1BA6B9CE" w14:textId="44417A09" w:rsidR="00407332" w:rsidRDefault="001176EC" w:rsidP="000D1928">
      <w:pPr>
        <w:ind w:firstLine="720"/>
      </w:pPr>
      <w:r>
        <w:t>From 2012 to 2021, there were 164 deaths among children 0 to 19 years of age in El Dorado County</w:t>
      </w:r>
      <w:r w:rsidR="009823F9">
        <w:t xml:space="preserve">. The child deaths comprised of </w:t>
      </w:r>
      <w:r w:rsidR="00D26305">
        <w:t>103 male</w:t>
      </w:r>
      <w:r w:rsidR="003025CD">
        <w:t>s</w:t>
      </w:r>
      <w:r w:rsidR="00D26305">
        <w:t xml:space="preserve"> </w:t>
      </w:r>
      <w:r w:rsidR="00627306">
        <w:t>(62.8%</w:t>
      </w:r>
      <w:r w:rsidR="003025CD">
        <w:t>)</w:t>
      </w:r>
      <w:r w:rsidR="00D26305">
        <w:t xml:space="preserve"> and 61 female</w:t>
      </w:r>
      <w:r w:rsidR="003025CD">
        <w:t>s (37.2</w:t>
      </w:r>
      <w:r w:rsidR="00E056F5">
        <w:t xml:space="preserve">). </w:t>
      </w:r>
      <w:r w:rsidR="00614EA3">
        <w:t>Among age</w:t>
      </w:r>
      <w:r w:rsidR="00694E1F">
        <w:t xml:space="preserve"> groups, the highest age group </w:t>
      </w:r>
      <w:r w:rsidR="004F2619">
        <w:t xml:space="preserve">to experience death </w:t>
      </w:r>
      <w:r w:rsidR="00D64362">
        <w:t>were</w:t>
      </w:r>
      <w:r w:rsidR="004F2619">
        <w:t xml:space="preserve"> infants</w:t>
      </w:r>
      <w:r w:rsidR="009664BF">
        <w:t xml:space="preserve"> &lt;1 years old with 50 deaths (30.5%)</w:t>
      </w:r>
      <w:r w:rsidR="00317F5F">
        <w:t xml:space="preserve">, 43 deaths were from the 18-19 age group (26.2%), </w:t>
      </w:r>
      <w:r w:rsidR="00732CC2">
        <w:t>27 deaths were from the 15-17 age group (</w:t>
      </w:r>
      <w:r w:rsidR="0075069A">
        <w:t>16.5%</w:t>
      </w:r>
      <w:r w:rsidR="00732CC2">
        <w:t>), 16 deaths were from the 1-4 age group (</w:t>
      </w:r>
      <w:r w:rsidR="00FB6B3B">
        <w:t>9.7%</w:t>
      </w:r>
      <w:r w:rsidR="00732CC2">
        <w:t xml:space="preserve">), and there were 14 deaths for both </w:t>
      </w:r>
      <w:r w:rsidR="0075069A">
        <w:t>5-9 and 10-14 age groups (</w:t>
      </w:r>
      <w:r w:rsidR="00FB6B3B">
        <w:t>8.5% each)</w:t>
      </w:r>
      <w:r w:rsidR="00407332">
        <w:t xml:space="preserve"> (</w:t>
      </w:r>
      <w:r w:rsidR="00057B7F" w:rsidRPr="00E056F5">
        <w:rPr>
          <w:b/>
          <w:bCs/>
        </w:rPr>
        <w:t>Table</w:t>
      </w:r>
      <w:r w:rsidR="00407332" w:rsidRPr="00E056F5">
        <w:rPr>
          <w:b/>
          <w:bCs/>
        </w:rPr>
        <w:t xml:space="preserve"> 1</w:t>
      </w:r>
      <w:r w:rsidR="00407332">
        <w:t>)</w:t>
      </w:r>
      <w:r w:rsidR="00FB6B3B">
        <w:t xml:space="preserve">. </w:t>
      </w:r>
      <w:r w:rsidR="003D1F58">
        <w:t xml:space="preserve">The mean </w:t>
      </w:r>
      <w:r w:rsidR="00D331C7">
        <w:t xml:space="preserve">age group among the sample were </w:t>
      </w:r>
      <w:r w:rsidR="003744BE">
        <w:t>5–9-year-olds</w:t>
      </w:r>
      <w:r w:rsidR="00AF731D">
        <w:t>.</w:t>
      </w:r>
      <w:r w:rsidR="003744BE">
        <w:t xml:space="preserve"> </w:t>
      </w:r>
      <w:r w:rsidR="00AF731D">
        <w:t xml:space="preserve"> </w:t>
      </w:r>
    </w:p>
    <w:p w14:paraId="77ECAB60" w14:textId="503B46C5" w:rsidR="008A1A2D" w:rsidRPr="00856057" w:rsidRDefault="00F73268" w:rsidP="000D1928">
      <w:pPr>
        <w:ind w:firstLine="720"/>
      </w:pPr>
      <w:r w:rsidRPr="00E056F5">
        <w:rPr>
          <w:b/>
          <w:bCs/>
        </w:rPr>
        <w:t>Table 1</w:t>
      </w:r>
      <w:r>
        <w:t xml:space="preserve"> denotes that deaths were more likely to occur among White individuals with 109 total deaths or 66.5%. This statistic may be due to the large population of White individuals who make up 83% of the total population of El Dorado County. Much of these manners of deaths are due to natural causes (48) and accidental deaths (35). There were 31 deaths from Hispanic/Latino’s, and of those deaths a majority were also due to accidents (12) and natural (11) manners of death. Overall, each race and ethnic group had more deaths among accidents and natural deaths according to the data from Cal-IVRS.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349"/>
        <w:gridCol w:w="1328"/>
        <w:gridCol w:w="1516"/>
        <w:gridCol w:w="1538"/>
        <w:gridCol w:w="1731"/>
      </w:tblGrid>
      <w:tr w:rsidR="00057B7F" w14:paraId="6D9A5319" w14:textId="77777777" w:rsidTr="00347EAA">
        <w:trPr>
          <w:trHeight w:val="347"/>
        </w:trPr>
        <w:tc>
          <w:tcPr>
            <w:tcW w:w="9180" w:type="dxa"/>
            <w:gridSpan w:val="6"/>
            <w:tcBorders>
              <w:top w:val="single" w:sz="4" w:space="0" w:color="auto"/>
              <w:bottom w:val="single" w:sz="4" w:space="0" w:color="auto"/>
            </w:tcBorders>
          </w:tcPr>
          <w:p w14:paraId="6ABD0AD1" w14:textId="77777777" w:rsidR="00057B7F" w:rsidRPr="000126D0" w:rsidRDefault="00057B7F" w:rsidP="00057B7F">
            <w:pPr>
              <w:rPr>
                <w:b/>
                <w:bCs/>
                <w:sz w:val="20"/>
                <w:szCs w:val="20"/>
              </w:rPr>
            </w:pPr>
            <w:r w:rsidRPr="000126D0">
              <w:rPr>
                <w:b/>
                <w:bCs/>
                <w:sz w:val="20"/>
                <w:szCs w:val="20"/>
              </w:rPr>
              <w:t xml:space="preserve">Table 1. </w:t>
            </w:r>
            <w:r w:rsidR="009F4900" w:rsidRPr="000126D0">
              <w:rPr>
                <w:b/>
                <w:bCs/>
                <w:sz w:val="20"/>
                <w:szCs w:val="20"/>
              </w:rPr>
              <w:t>Manners</w:t>
            </w:r>
            <w:r w:rsidR="00F56404" w:rsidRPr="000126D0">
              <w:rPr>
                <w:b/>
                <w:bCs/>
                <w:sz w:val="20"/>
                <w:szCs w:val="20"/>
              </w:rPr>
              <w:t xml:space="preserve"> of Death </w:t>
            </w:r>
            <w:r w:rsidR="00BA2648" w:rsidRPr="000126D0">
              <w:rPr>
                <w:b/>
                <w:bCs/>
                <w:sz w:val="20"/>
                <w:szCs w:val="20"/>
              </w:rPr>
              <w:t xml:space="preserve">occurring in </w:t>
            </w:r>
            <w:r w:rsidR="00C26DF7" w:rsidRPr="000126D0">
              <w:rPr>
                <w:b/>
                <w:bCs/>
                <w:sz w:val="20"/>
                <w:szCs w:val="20"/>
              </w:rPr>
              <w:t>El Dorado County</w:t>
            </w:r>
            <w:r w:rsidR="00BA2648" w:rsidRPr="000126D0">
              <w:rPr>
                <w:b/>
                <w:bCs/>
                <w:sz w:val="20"/>
                <w:szCs w:val="20"/>
              </w:rPr>
              <w:t xml:space="preserve"> by Age, Sex, and Race/Ethnicity</w:t>
            </w:r>
            <w:r w:rsidR="009F4900" w:rsidRPr="000126D0">
              <w:rPr>
                <w:b/>
                <w:bCs/>
                <w:sz w:val="20"/>
                <w:szCs w:val="20"/>
              </w:rPr>
              <w:t>, among those 0 to 19 years of age, 2012-2021</w:t>
            </w:r>
          </w:p>
          <w:p w14:paraId="03001D87" w14:textId="45FF35BA" w:rsidR="00C26DF7" w:rsidRPr="000126D0" w:rsidRDefault="00C26DF7" w:rsidP="00057B7F">
            <w:pPr>
              <w:rPr>
                <w:b/>
                <w:bCs/>
                <w:sz w:val="20"/>
                <w:szCs w:val="20"/>
              </w:rPr>
            </w:pPr>
          </w:p>
        </w:tc>
      </w:tr>
      <w:tr w:rsidR="00057B7F" w14:paraId="3E197EBB" w14:textId="77777777" w:rsidTr="00347EAA">
        <w:trPr>
          <w:trHeight w:val="616"/>
        </w:trPr>
        <w:tc>
          <w:tcPr>
            <w:tcW w:w="1718" w:type="dxa"/>
            <w:tcBorders>
              <w:top w:val="single" w:sz="4" w:space="0" w:color="auto"/>
              <w:bottom w:val="single" w:sz="4" w:space="0" w:color="auto"/>
            </w:tcBorders>
          </w:tcPr>
          <w:p w14:paraId="140BBE50" w14:textId="19C63623" w:rsidR="00057B7F" w:rsidRPr="000126D0" w:rsidRDefault="00057B7F" w:rsidP="00057B7F">
            <w:pPr>
              <w:rPr>
                <w:b/>
                <w:bCs/>
                <w:sz w:val="20"/>
                <w:szCs w:val="20"/>
              </w:rPr>
            </w:pPr>
            <w:r w:rsidRPr="000126D0">
              <w:rPr>
                <w:b/>
                <w:bCs/>
                <w:sz w:val="20"/>
                <w:szCs w:val="20"/>
              </w:rPr>
              <w:t>Characteristic</w:t>
            </w:r>
          </w:p>
        </w:tc>
        <w:tc>
          <w:tcPr>
            <w:tcW w:w="1349" w:type="dxa"/>
            <w:tcBorders>
              <w:top w:val="single" w:sz="4" w:space="0" w:color="auto"/>
              <w:bottom w:val="single" w:sz="4" w:space="0" w:color="auto"/>
            </w:tcBorders>
          </w:tcPr>
          <w:p w14:paraId="2190C1C8" w14:textId="6417A10C" w:rsidR="00057B7F" w:rsidRPr="000126D0" w:rsidRDefault="00057B7F" w:rsidP="00057B7F">
            <w:pPr>
              <w:jc w:val="center"/>
              <w:rPr>
                <w:b/>
                <w:bCs/>
                <w:sz w:val="20"/>
                <w:szCs w:val="20"/>
              </w:rPr>
            </w:pPr>
            <w:r w:rsidRPr="000126D0">
              <w:rPr>
                <w:b/>
                <w:bCs/>
                <w:sz w:val="20"/>
                <w:szCs w:val="20"/>
              </w:rPr>
              <w:t>Accident</w:t>
            </w:r>
          </w:p>
        </w:tc>
        <w:tc>
          <w:tcPr>
            <w:tcW w:w="1328" w:type="dxa"/>
            <w:tcBorders>
              <w:top w:val="single" w:sz="4" w:space="0" w:color="auto"/>
              <w:bottom w:val="single" w:sz="4" w:space="0" w:color="auto"/>
            </w:tcBorders>
          </w:tcPr>
          <w:p w14:paraId="4966CA68" w14:textId="798A3C5F" w:rsidR="00057B7F" w:rsidRPr="000126D0" w:rsidRDefault="00057B7F" w:rsidP="00057B7F">
            <w:pPr>
              <w:jc w:val="center"/>
              <w:rPr>
                <w:b/>
                <w:bCs/>
                <w:sz w:val="20"/>
                <w:szCs w:val="20"/>
              </w:rPr>
            </w:pPr>
            <w:r w:rsidRPr="000126D0">
              <w:rPr>
                <w:b/>
                <w:bCs/>
                <w:sz w:val="20"/>
                <w:szCs w:val="20"/>
              </w:rPr>
              <w:t>Natural</w:t>
            </w:r>
          </w:p>
        </w:tc>
        <w:tc>
          <w:tcPr>
            <w:tcW w:w="1516" w:type="dxa"/>
            <w:tcBorders>
              <w:top w:val="single" w:sz="4" w:space="0" w:color="auto"/>
              <w:bottom w:val="single" w:sz="4" w:space="0" w:color="auto"/>
            </w:tcBorders>
          </w:tcPr>
          <w:p w14:paraId="076FCCD4" w14:textId="473B01BF" w:rsidR="00057B7F" w:rsidRPr="000126D0" w:rsidRDefault="00057B7F" w:rsidP="00057B7F">
            <w:pPr>
              <w:jc w:val="center"/>
              <w:rPr>
                <w:b/>
                <w:bCs/>
                <w:sz w:val="20"/>
                <w:szCs w:val="20"/>
              </w:rPr>
            </w:pPr>
            <w:r w:rsidRPr="000126D0">
              <w:rPr>
                <w:b/>
                <w:bCs/>
                <w:sz w:val="20"/>
                <w:szCs w:val="20"/>
              </w:rPr>
              <w:t>Suicide</w:t>
            </w:r>
          </w:p>
        </w:tc>
        <w:tc>
          <w:tcPr>
            <w:tcW w:w="1538" w:type="dxa"/>
            <w:tcBorders>
              <w:top w:val="single" w:sz="4" w:space="0" w:color="auto"/>
              <w:bottom w:val="single" w:sz="4" w:space="0" w:color="auto"/>
            </w:tcBorders>
          </w:tcPr>
          <w:p w14:paraId="67119AB5" w14:textId="3DBED254" w:rsidR="00057B7F" w:rsidRPr="000126D0" w:rsidRDefault="00057B7F" w:rsidP="00057B7F">
            <w:pPr>
              <w:jc w:val="center"/>
              <w:rPr>
                <w:b/>
                <w:bCs/>
                <w:sz w:val="20"/>
                <w:szCs w:val="20"/>
              </w:rPr>
            </w:pPr>
            <w:r w:rsidRPr="000126D0">
              <w:rPr>
                <w:b/>
                <w:bCs/>
                <w:sz w:val="20"/>
                <w:szCs w:val="20"/>
              </w:rPr>
              <w:t>Homicide</w:t>
            </w:r>
          </w:p>
        </w:tc>
        <w:tc>
          <w:tcPr>
            <w:tcW w:w="1731" w:type="dxa"/>
            <w:tcBorders>
              <w:top w:val="single" w:sz="4" w:space="0" w:color="auto"/>
              <w:bottom w:val="single" w:sz="4" w:space="0" w:color="auto"/>
            </w:tcBorders>
          </w:tcPr>
          <w:p w14:paraId="29690CB7" w14:textId="5C97C777" w:rsidR="00057B7F" w:rsidRPr="000126D0" w:rsidRDefault="00057B7F" w:rsidP="00057B7F">
            <w:pPr>
              <w:jc w:val="center"/>
              <w:rPr>
                <w:b/>
                <w:bCs/>
                <w:sz w:val="20"/>
                <w:szCs w:val="20"/>
              </w:rPr>
            </w:pPr>
            <w:r w:rsidRPr="000126D0">
              <w:rPr>
                <w:b/>
                <w:bCs/>
                <w:sz w:val="20"/>
                <w:szCs w:val="20"/>
              </w:rPr>
              <w:t>Could not be determined</w:t>
            </w:r>
          </w:p>
        </w:tc>
      </w:tr>
      <w:tr w:rsidR="00057B7F" w14:paraId="1E8153A1" w14:textId="77777777" w:rsidTr="00347EAA">
        <w:trPr>
          <w:trHeight w:val="367"/>
        </w:trPr>
        <w:tc>
          <w:tcPr>
            <w:tcW w:w="1718" w:type="dxa"/>
            <w:tcBorders>
              <w:top w:val="single" w:sz="4" w:space="0" w:color="auto"/>
            </w:tcBorders>
          </w:tcPr>
          <w:p w14:paraId="2FE87DE2" w14:textId="10CE1183" w:rsidR="00057B7F" w:rsidRPr="000126D0" w:rsidRDefault="00057B7F" w:rsidP="00057B7F">
            <w:pPr>
              <w:rPr>
                <w:sz w:val="20"/>
                <w:szCs w:val="20"/>
              </w:rPr>
            </w:pPr>
            <w:r w:rsidRPr="000126D0">
              <w:rPr>
                <w:sz w:val="20"/>
                <w:szCs w:val="20"/>
              </w:rPr>
              <w:t xml:space="preserve">Total Cases, </w:t>
            </w:r>
            <w:proofErr w:type="gramStart"/>
            <w:r w:rsidRPr="000126D0">
              <w:rPr>
                <w:sz w:val="20"/>
                <w:szCs w:val="20"/>
              </w:rPr>
              <w:t>n(</w:t>
            </w:r>
            <w:proofErr w:type="gramEnd"/>
            <w:r w:rsidRPr="000126D0">
              <w:rPr>
                <w:sz w:val="20"/>
                <w:szCs w:val="20"/>
              </w:rPr>
              <w:t>%)</w:t>
            </w:r>
          </w:p>
        </w:tc>
        <w:tc>
          <w:tcPr>
            <w:tcW w:w="1349" w:type="dxa"/>
            <w:tcBorders>
              <w:top w:val="single" w:sz="4" w:space="0" w:color="auto"/>
            </w:tcBorders>
          </w:tcPr>
          <w:p w14:paraId="05321AF3" w14:textId="3E4CC652" w:rsidR="00057B7F" w:rsidRPr="000126D0" w:rsidRDefault="00057B7F" w:rsidP="00057B7F">
            <w:pPr>
              <w:jc w:val="center"/>
              <w:rPr>
                <w:b/>
                <w:bCs/>
                <w:sz w:val="20"/>
                <w:szCs w:val="20"/>
              </w:rPr>
            </w:pPr>
            <w:r w:rsidRPr="000126D0">
              <w:rPr>
                <w:sz w:val="20"/>
                <w:szCs w:val="20"/>
              </w:rPr>
              <w:t>55(33.5)</w:t>
            </w:r>
          </w:p>
        </w:tc>
        <w:tc>
          <w:tcPr>
            <w:tcW w:w="1328" w:type="dxa"/>
            <w:tcBorders>
              <w:top w:val="single" w:sz="4" w:space="0" w:color="auto"/>
            </w:tcBorders>
          </w:tcPr>
          <w:p w14:paraId="6E409991" w14:textId="562BADD1" w:rsidR="00057B7F" w:rsidRPr="000126D0" w:rsidRDefault="00057B7F" w:rsidP="00057B7F">
            <w:pPr>
              <w:jc w:val="center"/>
              <w:rPr>
                <w:b/>
                <w:bCs/>
                <w:sz w:val="20"/>
                <w:szCs w:val="20"/>
              </w:rPr>
            </w:pPr>
            <w:r w:rsidRPr="000126D0">
              <w:rPr>
                <w:sz w:val="20"/>
                <w:szCs w:val="20"/>
              </w:rPr>
              <w:t>73(44.5)</w:t>
            </w:r>
          </w:p>
        </w:tc>
        <w:tc>
          <w:tcPr>
            <w:tcW w:w="1516" w:type="dxa"/>
            <w:tcBorders>
              <w:top w:val="single" w:sz="4" w:space="0" w:color="auto"/>
            </w:tcBorders>
          </w:tcPr>
          <w:p w14:paraId="3F503FD8" w14:textId="0A4E568A" w:rsidR="00057B7F" w:rsidRPr="000126D0" w:rsidRDefault="00057B7F" w:rsidP="00057B7F">
            <w:pPr>
              <w:jc w:val="center"/>
              <w:rPr>
                <w:b/>
                <w:bCs/>
                <w:sz w:val="20"/>
                <w:szCs w:val="20"/>
              </w:rPr>
            </w:pPr>
            <w:r w:rsidRPr="000126D0">
              <w:rPr>
                <w:sz w:val="20"/>
                <w:szCs w:val="20"/>
              </w:rPr>
              <w:t>21(12.8)</w:t>
            </w:r>
          </w:p>
        </w:tc>
        <w:tc>
          <w:tcPr>
            <w:tcW w:w="1538" w:type="dxa"/>
            <w:tcBorders>
              <w:top w:val="single" w:sz="4" w:space="0" w:color="auto"/>
            </w:tcBorders>
          </w:tcPr>
          <w:p w14:paraId="04AE182A" w14:textId="508D7DDE" w:rsidR="00057B7F" w:rsidRPr="000126D0" w:rsidRDefault="00057B7F" w:rsidP="00057B7F">
            <w:pPr>
              <w:jc w:val="center"/>
              <w:rPr>
                <w:b/>
                <w:bCs/>
                <w:sz w:val="20"/>
                <w:szCs w:val="20"/>
              </w:rPr>
            </w:pPr>
            <w:r w:rsidRPr="000126D0">
              <w:rPr>
                <w:sz w:val="20"/>
                <w:szCs w:val="20"/>
              </w:rPr>
              <w:t>5(3.0)</w:t>
            </w:r>
          </w:p>
        </w:tc>
        <w:tc>
          <w:tcPr>
            <w:tcW w:w="1731" w:type="dxa"/>
            <w:tcBorders>
              <w:top w:val="single" w:sz="4" w:space="0" w:color="auto"/>
            </w:tcBorders>
          </w:tcPr>
          <w:p w14:paraId="25E1BCCE" w14:textId="3D7C7790" w:rsidR="00057B7F" w:rsidRPr="000126D0" w:rsidRDefault="00057B7F" w:rsidP="00057B7F">
            <w:pPr>
              <w:jc w:val="center"/>
              <w:rPr>
                <w:b/>
                <w:bCs/>
                <w:sz w:val="20"/>
                <w:szCs w:val="20"/>
              </w:rPr>
            </w:pPr>
            <w:r w:rsidRPr="000126D0">
              <w:rPr>
                <w:sz w:val="20"/>
                <w:szCs w:val="20"/>
              </w:rPr>
              <w:t>7(4.3)</w:t>
            </w:r>
          </w:p>
        </w:tc>
      </w:tr>
      <w:tr w:rsidR="00057B7F" w14:paraId="2FA3480A" w14:textId="77777777" w:rsidTr="00347EAA">
        <w:trPr>
          <w:trHeight w:val="367"/>
        </w:trPr>
        <w:tc>
          <w:tcPr>
            <w:tcW w:w="1718" w:type="dxa"/>
          </w:tcPr>
          <w:p w14:paraId="463176F2" w14:textId="0A0C30AA" w:rsidR="00057B7F" w:rsidRPr="000126D0" w:rsidRDefault="00057B7F" w:rsidP="00057B7F">
            <w:pPr>
              <w:rPr>
                <w:b/>
                <w:bCs/>
                <w:sz w:val="20"/>
                <w:szCs w:val="20"/>
              </w:rPr>
            </w:pPr>
            <w:r w:rsidRPr="000126D0">
              <w:rPr>
                <w:b/>
                <w:bCs/>
                <w:sz w:val="20"/>
                <w:szCs w:val="20"/>
              </w:rPr>
              <w:t xml:space="preserve">Age, </w:t>
            </w:r>
            <w:proofErr w:type="gramStart"/>
            <w:r w:rsidRPr="000126D0">
              <w:rPr>
                <w:b/>
                <w:bCs/>
                <w:sz w:val="20"/>
                <w:szCs w:val="20"/>
              </w:rPr>
              <w:t>n(</w:t>
            </w:r>
            <w:proofErr w:type="gramEnd"/>
            <w:r w:rsidRPr="000126D0">
              <w:rPr>
                <w:b/>
                <w:bCs/>
                <w:sz w:val="20"/>
                <w:szCs w:val="20"/>
              </w:rPr>
              <w:t>%)</w:t>
            </w:r>
          </w:p>
        </w:tc>
        <w:tc>
          <w:tcPr>
            <w:tcW w:w="1349" w:type="dxa"/>
          </w:tcPr>
          <w:p w14:paraId="72ACE9C4" w14:textId="77777777" w:rsidR="00057B7F" w:rsidRPr="000126D0" w:rsidRDefault="00057B7F" w:rsidP="00057B7F">
            <w:pPr>
              <w:jc w:val="center"/>
              <w:rPr>
                <w:b/>
                <w:bCs/>
                <w:sz w:val="20"/>
                <w:szCs w:val="20"/>
              </w:rPr>
            </w:pPr>
          </w:p>
        </w:tc>
        <w:tc>
          <w:tcPr>
            <w:tcW w:w="1328" w:type="dxa"/>
          </w:tcPr>
          <w:p w14:paraId="6E910BD2" w14:textId="77777777" w:rsidR="00057B7F" w:rsidRPr="000126D0" w:rsidRDefault="00057B7F" w:rsidP="00057B7F">
            <w:pPr>
              <w:jc w:val="center"/>
              <w:rPr>
                <w:b/>
                <w:bCs/>
                <w:sz w:val="20"/>
                <w:szCs w:val="20"/>
              </w:rPr>
            </w:pPr>
          </w:p>
        </w:tc>
        <w:tc>
          <w:tcPr>
            <w:tcW w:w="1516" w:type="dxa"/>
          </w:tcPr>
          <w:p w14:paraId="4D7F6ECD" w14:textId="77777777" w:rsidR="00057B7F" w:rsidRPr="000126D0" w:rsidRDefault="00057B7F" w:rsidP="00057B7F">
            <w:pPr>
              <w:jc w:val="center"/>
              <w:rPr>
                <w:b/>
                <w:bCs/>
                <w:sz w:val="20"/>
                <w:szCs w:val="20"/>
              </w:rPr>
            </w:pPr>
          </w:p>
        </w:tc>
        <w:tc>
          <w:tcPr>
            <w:tcW w:w="1538" w:type="dxa"/>
          </w:tcPr>
          <w:p w14:paraId="2CCA7D86" w14:textId="77777777" w:rsidR="00057B7F" w:rsidRPr="000126D0" w:rsidRDefault="00057B7F" w:rsidP="00057B7F">
            <w:pPr>
              <w:jc w:val="center"/>
              <w:rPr>
                <w:b/>
                <w:bCs/>
                <w:sz w:val="20"/>
                <w:szCs w:val="20"/>
              </w:rPr>
            </w:pPr>
          </w:p>
        </w:tc>
        <w:tc>
          <w:tcPr>
            <w:tcW w:w="1731" w:type="dxa"/>
          </w:tcPr>
          <w:p w14:paraId="6F3E495B" w14:textId="77777777" w:rsidR="00057B7F" w:rsidRPr="000126D0" w:rsidRDefault="00057B7F" w:rsidP="00057B7F">
            <w:pPr>
              <w:jc w:val="center"/>
              <w:rPr>
                <w:b/>
                <w:bCs/>
                <w:sz w:val="20"/>
                <w:szCs w:val="20"/>
              </w:rPr>
            </w:pPr>
          </w:p>
        </w:tc>
      </w:tr>
      <w:tr w:rsidR="00057B7F" w14:paraId="215DC672" w14:textId="77777777" w:rsidTr="00347EAA">
        <w:trPr>
          <w:trHeight w:val="289"/>
        </w:trPr>
        <w:tc>
          <w:tcPr>
            <w:tcW w:w="1718" w:type="dxa"/>
          </w:tcPr>
          <w:p w14:paraId="3574F74F" w14:textId="78F363A8" w:rsidR="00057B7F" w:rsidRPr="000126D0" w:rsidRDefault="00057B7F" w:rsidP="00057B7F">
            <w:pPr>
              <w:rPr>
                <w:sz w:val="20"/>
                <w:szCs w:val="20"/>
              </w:rPr>
            </w:pPr>
            <w:r w:rsidRPr="000126D0">
              <w:rPr>
                <w:sz w:val="20"/>
                <w:szCs w:val="20"/>
              </w:rPr>
              <w:t>&lt;1</w:t>
            </w:r>
          </w:p>
        </w:tc>
        <w:tc>
          <w:tcPr>
            <w:tcW w:w="1349" w:type="dxa"/>
          </w:tcPr>
          <w:p w14:paraId="63405150" w14:textId="70B59981" w:rsidR="00057B7F" w:rsidRPr="000126D0" w:rsidRDefault="00057B7F" w:rsidP="00057B7F">
            <w:pPr>
              <w:jc w:val="center"/>
              <w:rPr>
                <w:sz w:val="20"/>
                <w:szCs w:val="20"/>
              </w:rPr>
            </w:pPr>
            <w:r w:rsidRPr="000126D0">
              <w:rPr>
                <w:sz w:val="20"/>
                <w:szCs w:val="20"/>
              </w:rPr>
              <w:t>-</w:t>
            </w:r>
          </w:p>
        </w:tc>
        <w:tc>
          <w:tcPr>
            <w:tcW w:w="1328" w:type="dxa"/>
          </w:tcPr>
          <w:p w14:paraId="357C4C12" w14:textId="46DF3377" w:rsidR="00057B7F" w:rsidRPr="000126D0" w:rsidRDefault="00057B7F" w:rsidP="00057B7F">
            <w:pPr>
              <w:jc w:val="center"/>
              <w:rPr>
                <w:sz w:val="20"/>
                <w:szCs w:val="20"/>
              </w:rPr>
            </w:pPr>
            <w:r w:rsidRPr="000126D0">
              <w:rPr>
                <w:sz w:val="20"/>
                <w:szCs w:val="20"/>
              </w:rPr>
              <w:t>44(60.3)</w:t>
            </w:r>
          </w:p>
        </w:tc>
        <w:tc>
          <w:tcPr>
            <w:tcW w:w="1516" w:type="dxa"/>
          </w:tcPr>
          <w:p w14:paraId="7C7F187D" w14:textId="0E0ED6E5" w:rsidR="00057B7F" w:rsidRPr="000126D0" w:rsidRDefault="00057B7F" w:rsidP="00057B7F">
            <w:pPr>
              <w:jc w:val="center"/>
              <w:rPr>
                <w:sz w:val="20"/>
                <w:szCs w:val="20"/>
              </w:rPr>
            </w:pPr>
            <w:r w:rsidRPr="000126D0">
              <w:rPr>
                <w:sz w:val="20"/>
                <w:szCs w:val="20"/>
              </w:rPr>
              <w:t>-</w:t>
            </w:r>
          </w:p>
        </w:tc>
        <w:tc>
          <w:tcPr>
            <w:tcW w:w="1538" w:type="dxa"/>
          </w:tcPr>
          <w:p w14:paraId="32DB7E54" w14:textId="412C2F2E" w:rsidR="00057B7F" w:rsidRPr="000126D0" w:rsidRDefault="00057B7F" w:rsidP="00057B7F">
            <w:pPr>
              <w:jc w:val="center"/>
              <w:rPr>
                <w:sz w:val="20"/>
                <w:szCs w:val="20"/>
              </w:rPr>
            </w:pPr>
            <w:r w:rsidRPr="000126D0">
              <w:rPr>
                <w:sz w:val="20"/>
                <w:szCs w:val="20"/>
              </w:rPr>
              <w:t>1(20.0)</w:t>
            </w:r>
          </w:p>
        </w:tc>
        <w:tc>
          <w:tcPr>
            <w:tcW w:w="1731" w:type="dxa"/>
          </w:tcPr>
          <w:p w14:paraId="298A2D5D" w14:textId="13AA5F06" w:rsidR="00057B7F" w:rsidRPr="000126D0" w:rsidRDefault="00057B7F" w:rsidP="00057B7F">
            <w:pPr>
              <w:jc w:val="center"/>
              <w:rPr>
                <w:sz w:val="20"/>
                <w:szCs w:val="20"/>
              </w:rPr>
            </w:pPr>
            <w:r w:rsidRPr="000126D0">
              <w:rPr>
                <w:sz w:val="20"/>
                <w:szCs w:val="20"/>
              </w:rPr>
              <w:t>5(71.4)</w:t>
            </w:r>
          </w:p>
        </w:tc>
      </w:tr>
      <w:tr w:rsidR="00057B7F" w14:paraId="0E2E8EA1" w14:textId="77777777" w:rsidTr="00347EAA">
        <w:trPr>
          <w:trHeight w:val="306"/>
        </w:trPr>
        <w:tc>
          <w:tcPr>
            <w:tcW w:w="1718" w:type="dxa"/>
          </w:tcPr>
          <w:p w14:paraId="2592CB0C" w14:textId="725B777E" w:rsidR="00057B7F" w:rsidRPr="000126D0" w:rsidRDefault="00057B7F" w:rsidP="00057B7F">
            <w:pPr>
              <w:rPr>
                <w:sz w:val="20"/>
                <w:szCs w:val="20"/>
              </w:rPr>
            </w:pPr>
            <w:r w:rsidRPr="000126D0">
              <w:rPr>
                <w:sz w:val="20"/>
                <w:szCs w:val="20"/>
              </w:rPr>
              <w:t>1-4</w:t>
            </w:r>
          </w:p>
        </w:tc>
        <w:tc>
          <w:tcPr>
            <w:tcW w:w="1349" w:type="dxa"/>
          </w:tcPr>
          <w:p w14:paraId="0B8457B7" w14:textId="09E8DE33" w:rsidR="00057B7F" w:rsidRPr="000126D0" w:rsidRDefault="00057B7F" w:rsidP="00057B7F">
            <w:pPr>
              <w:jc w:val="center"/>
              <w:rPr>
                <w:sz w:val="20"/>
                <w:szCs w:val="20"/>
              </w:rPr>
            </w:pPr>
            <w:r w:rsidRPr="000126D0">
              <w:rPr>
                <w:sz w:val="20"/>
                <w:szCs w:val="20"/>
              </w:rPr>
              <w:t>6(10.9)</w:t>
            </w:r>
          </w:p>
        </w:tc>
        <w:tc>
          <w:tcPr>
            <w:tcW w:w="1328" w:type="dxa"/>
          </w:tcPr>
          <w:p w14:paraId="6F25BE7A" w14:textId="2C6797E0" w:rsidR="00057B7F" w:rsidRPr="000126D0" w:rsidRDefault="00057B7F" w:rsidP="00057B7F">
            <w:pPr>
              <w:jc w:val="center"/>
              <w:rPr>
                <w:sz w:val="20"/>
                <w:szCs w:val="20"/>
              </w:rPr>
            </w:pPr>
            <w:r w:rsidRPr="000126D0">
              <w:rPr>
                <w:sz w:val="20"/>
                <w:szCs w:val="20"/>
              </w:rPr>
              <w:t>8(11.0)</w:t>
            </w:r>
          </w:p>
        </w:tc>
        <w:tc>
          <w:tcPr>
            <w:tcW w:w="1516" w:type="dxa"/>
          </w:tcPr>
          <w:p w14:paraId="1609349A" w14:textId="6A56C058" w:rsidR="00057B7F" w:rsidRPr="000126D0" w:rsidRDefault="00057B7F" w:rsidP="00057B7F">
            <w:pPr>
              <w:jc w:val="center"/>
              <w:rPr>
                <w:sz w:val="20"/>
                <w:szCs w:val="20"/>
              </w:rPr>
            </w:pPr>
            <w:r w:rsidRPr="000126D0">
              <w:rPr>
                <w:sz w:val="20"/>
                <w:szCs w:val="20"/>
              </w:rPr>
              <w:t>-</w:t>
            </w:r>
          </w:p>
        </w:tc>
        <w:tc>
          <w:tcPr>
            <w:tcW w:w="1538" w:type="dxa"/>
          </w:tcPr>
          <w:p w14:paraId="7A33A92C" w14:textId="1398FB5E" w:rsidR="00057B7F" w:rsidRPr="000126D0" w:rsidRDefault="00057B7F" w:rsidP="00057B7F">
            <w:pPr>
              <w:jc w:val="center"/>
              <w:rPr>
                <w:sz w:val="20"/>
                <w:szCs w:val="20"/>
              </w:rPr>
            </w:pPr>
            <w:r w:rsidRPr="000126D0">
              <w:rPr>
                <w:sz w:val="20"/>
                <w:szCs w:val="20"/>
              </w:rPr>
              <w:t>-</w:t>
            </w:r>
          </w:p>
        </w:tc>
        <w:tc>
          <w:tcPr>
            <w:tcW w:w="1731" w:type="dxa"/>
          </w:tcPr>
          <w:p w14:paraId="2AEDE3CA" w14:textId="418BDF54" w:rsidR="00057B7F" w:rsidRPr="000126D0" w:rsidRDefault="00057B7F" w:rsidP="00057B7F">
            <w:pPr>
              <w:jc w:val="center"/>
              <w:rPr>
                <w:sz w:val="20"/>
                <w:szCs w:val="20"/>
              </w:rPr>
            </w:pPr>
            <w:r w:rsidRPr="000126D0">
              <w:rPr>
                <w:sz w:val="20"/>
                <w:szCs w:val="20"/>
              </w:rPr>
              <w:t>-</w:t>
            </w:r>
          </w:p>
        </w:tc>
      </w:tr>
      <w:tr w:rsidR="00057B7F" w14:paraId="34F845DD" w14:textId="77777777" w:rsidTr="00347EAA">
        <w:trPr>
          <w:trHeight w:val="306"/>
        </w:trPr>
        <w:tc>
          <w:tcPr>
            <w:tcW w:w="1718" w:type="dxa"/>
          </w:tcPr>
          <w:p w14:paraId="2B2278CE" w14:textId="4B7076E1" w:rsidR="00057B7F" w:rsidRPr="000126D0" w:rsidRDefault="00057B7F" w:rsidP="00057B7F">
            <w:pPr>
              <w:rPr>
                <w:sz w:val="20"/>
                <w:szCs w:val="20"/>
              </w:rPr>
            </w:pPr>
            <w:r w:rsidRPr="000126D0">
              <w:rPr>
                <w:sz w:val="20"/>
                <w:szCs w:val="20"/>
              </w:rPr>
              <w:t>5-9</w:t>
            </w:r>
          </w:p>
        </w:tc>
        <w:tc>
          <w:tcPr>
            <w:tcW w:w="1349" w:type="dxa"/>
          </w:tcPr>
          <w:p w14:paraId="648137CC" w14:textId="3BB92BEE" w:rsidR="00057B7F" w:rsidRPr="000126D0" w:rsidRDefault="00057B7F" w:rsidP="00057B7F">
            <w:pPr>
              <w:jc w:val="center"/>
              <w:rPr>
                <w:sz w:val="20"/>
                <w:szCs w:val="20"/>
              </w:rPr>
            </w:pPr>
            <w:r w:rsidRPr="000126D0">
              <w:rPr>
                <w:sz w:val="20"/>
                <w:szCs w:val="20"/>
              </w:rPr>
              <w:t>6(10.9)</w:t>
            </w:r>
          </w:p>
        </w:tc>
        <w:tc>
          <w:tcPr>
            <w:tcW w:w="1328" w:type="dxa"/>
          </w:tcPr>
          <w:p w14:paraId="4C467975" w14:textId="1314A52B" w:rsidR="00057B7F" w:rsidRPr="000126D0" w:rsidRDefault="00057B7F" w:rsidP="00057B7F">
            <w:pPr>
              <w:jc w:val="center"/>
              <w:rPr>
                <w:sz w:val="20"/>
                <w:szCs w:val="20"/>
              </w:rPr>
            </w:pPr>
            <w:r w:rsidRPr="000126D0">
              <w:rPr>
                <w:sz w:val="20"/>
                <w:szCs w:val="20"/>
              </w:rPr>
              <w:t>7(9.6)</w:t>
            </w:r>
          </w:p>
        </w:tc>
        <w:tc>
          <w:tcPr>
            <w:tcW w:w="1516" w:type="dxa"/>
          </w:tcPr>
          <w:p w14:paraId="46AE4A01" w14:textId="1D1DCFCE" w:rsidR="00057B7F" w:rsidRPr="000126D0" w:rsidRDefault="00057B7F" w:rsidP="00057B7F">
            <w:pPr>
              <w:jc w:val="center"/>
              <w:rPr>
                <w:sz w:val="20"/>
                <w:szCs w:val="20"/>
              </w:rPr>
            </w:pPr>
            <w:r w:rsidRPr="000126D0">
              <w:rPr>
                <w:sz w:val="20"/>
                <w:szCs w:val="20"/>
              </w:rPr>
              <w:t>-</w:t>
            </w:r>
          </w:p>
        </w:tc>
        <w:tc>
          <w:tcPr>
            <w:tcW w:w="1538" w:type="dxa"/>
          </w:tcPr>
          <w:p w14:paraId="2759F3AA" w14:textId="1E9F7D8C" w:rsidR="00057B7F" w:rsidRPr="000126D0" w:rsidRDefault="00057B7F" w:rsidP="00057B7F">
            <w:pPr>
              <w:jc w:val="center"/>
              <w:rPr>
                <w:sz w:val="20"/>
                <w:szCs w:val="20"/>
              </w:rPr>
            </w:pPr>
            <w:r w:rsidRPr="000126D0">
              <w:rPr>
                <w:sz w:val="20"/>
                <w:szCs w:val="20"/>
              </w:rPr>
              <w:t>1(20.0)</w:t>
            </w:r>
          </w:p>
        </w:tc>
        <w:tc>
          <w:tcPr>
            <w:tcW w:w="1731" w:type="dxa"/>
          </w:tcPr>
          <w:p w14:paraId="40E5786E" w14:textId="2E0362B9" w:rsidR="00057B7F" w:rsidRPr="000126D0" w:rsidRDefault="00057B7F" w:rsidP="00057B7F">
            <w:pPr>
              <w:jc w:val="center"/>
              <w:rPr>
                <w:sz w:val="20"/>
                <w:szCs w:val="20"/>
              </w:rPr>
            </w:pPr>
            <w:r w:rsidRPr="000126D0">
              <w:rPr>
                <w:sz w:val="20"/>
                <w:szCs w:val="20"/>
              </w:rPr>
              <w:t>-</w:t>
            </w:r>
          </w:p>
        </w:tc>
      </w:tr>
      <w:tr w:rsidR="00057B7F" w14:paraId="42F063CA" w14:textId="77777777" w:rsidTr="00347EAA">
        <w:trPr>
          <w:trHeight w:val="289"/>
        </w:trPr>
        <w:tc>
          <w:tcPr>
            <w:tcW w:w="1718" w:type="dxa"/>
          </w:tcPr>
          <w:p w14:paraId="339CEC21" w14:textId="07A01F26" w:rsidR="00057B7F" w:rsidRPr="000126D0" w:rsidRDefault="00057B7F" w:rsidP="00057B7F">
            <w:pPr>
              <w:rPr>
                <w:sz w:val="20"/>
                <w:szCs w:val="20"/>
              </w:rPr>
            </w:pPr>
            <w:r w:rsidRPr="000126D0">
              <w:rPr>
                <w:sz w:val="20"/>
                <w:szCs w:val="20"/>
              </w:rPr>
              <w:t>10-14</w:t>
            </w:r>
          </w:p>
        </w:tc>
        <w:tc>
          <w:tcPr>
            <w:tcW w:w="1349" w:type="dxa"/>
          </w:tcPr>
          <w:p w14:paraId="261B7459" w14:textId="1109BEE1" w:rsidR="00057B7F" w:rsidRPr="000126D0" w:rsidRDefault="00057B7F" w:rsidP="00057B7F">
            <w:pPr>
              <w:jc w:val="center"/>
              <w:rPr>
                <w:sz w:val="20"/>
                <w:szCs w:val="20"/>
              </w:rPr>
            </w:pPr>
            <w:r w:rsidRPr="000126D0">
              <w:rPr>
                <w:sz w:val="20"/>
                <w:szCs w:val="20"/>
              </w:rPr>
              <w:t>4(7.3)</w:t>
            </w:r>
          </w:p>
        </w:tc>
        <w:tc>
          <w:tcPr>
            <w:tcW w:w="1328" w:type="dxa"/>
          </w:tcPr>
          <w:p w14:paraId="064B4351" w14:textId="006578E4" w:rsidR="00057B7F" w:rsidRPr="000126D0" w:rsidRDefault="00057B7F" w:rsidP="00057B7F">
            <w:pPr>
              <w:jc w:val="center"/>
              <w:rPr>
                <w:sz w:val="20"/>
                <w:szCs w:val="20"/>
              </w:rPr>
            </w:pPr>
            <w:r w:rsidRPr="000126D0">
              <w:rPr>
                <w:sz w:val="20"/>
                <w:szCs w:val="20"/>
              </w:rPr>
              <w:t>7(9.6)</w:t>
            </w:r>
          </w:p>
        </w:tc>
        <w:tc>
          <w:tcPr>
            <w:tcW w:w="1516" w:type="dxa"/>
          </w:tcPr>
          <w:p w14:paraId="10622AC2" w14:textId="27C63B14" w:rsidR="00057B7F" w:rsidRPr="000126D0" w:rsidRDefault="00057B7F" w:rsidP="00057B7F">
            <w:pPr>
              <w:jc w:val="center"/>
              <w:rPr>
                <w:sz w:val="20"/>
                <w:szCs w:val="20"/>
              </w:rPr>
            </w:pPr>
            <w:r w:rsidRPr="000126D0">
              <w:rPr>
                <w:sz w:val="20"/>
                <w:szCs w:val="20"/>
              </w:rPr>
              <w:t>2(9.5)</w:t>
            </w:r>
          </w:p>
        </w:tc>
        <w:tc>
          <w:tcPr>
            <w:tcW w:w="1538" w:type="dxa"/>
          </w:tcPr>
          <w:p w14:paraId="210F0E06" w14:textId="5C1A5816" w:rsidR="00057B7F" w:rsidRPr="000126D0" w:rsidRDefault="00057B7F" w:rsidP="00057B7F">
            <w:pPr>
              <w:jc w:val="center"/>
              <w:rPr>
                <w:sz w:val="20"/>
                <w:szCs w:val="20"/>
              </w:rPr>
            </w:pPr>
            <w:r w:rsidRPr="000126D0">
              <w:rPr>
                <w:sz w:val="20"/>
                <w:szCs w:val="20"/>
              </w:rPr>
              <w:t>-</w:t>
            </w:r>
          </w:p>
        </w:tc>
        <w:tc>
          <w:tcPr>
            <w:tcW w:w="1731" w:type="dxa"/>
          </w:tcPr>
          <w:p w14:paraId="5999C2D6" w14:textId="39D770F0" w:rsidR="00057B7F" w:rsidRPr="000126D0" w:rsidRDefault="00057B7F" w:rsidP="00057B7F">
            <w:pPr>
              <w:jc w:val="center"/>
              <w:rPr>
                <w:sz w:val="20"/>
                <w:szCs w:val="20"/>
              </w:rPr>
            </w:pPr>
            <w:r w:rsidRPr="000126D0">
              <w:rPr>
                <w:sz w:val="20"/>
                <w:szCs w:val="20"/>
              </w:rPr>
              <w:t>1(14.3)</w:t>
            </w:r>
          </w:p>
        </w:tc>
      </w:tr>
      <w:tr w:rsidR="00057B7F" w14:paraId="60917D3D" w14:textId="77777777" w:rsidTr="00347EAA">
        <w:trPr>
          <w:trHeight w:val="306"/>
        </w:trPr>
        <w:tc>
          <w:tcPr>
            <w:tcW w:w="1718" w:type="dxa"/>
          </w:tcPr>
          <w:p w14:paraId="1B311DDE" w14:textId="2CDFE49A" w:rsidR="00057B7F" w:rsidRPr="000126D0" w:rsidRDefault="00057B7F" w:rsidP="00057B7F">
            <w:pPr>
              <w:rPr>
                <w:sz w:val="20"/>
                <w:szCs w:val="20"/>
              </w:rPr>
            </w:pPr>
            <w:r w:rsidRPr="000126D0">
              <w:rPr>
                <w:sz w:val="20"/>
                <w:szCs w:val="20"/>
              </w:rPr>
              <w:t>15-17</w:t>
            </w:r>
          </w:p>
        </w:tc>
        <w:tc>
          <w:tcPr>
            <w:tcW w:w="1349" w:type="dxa"/>
          </w:tcPr>
          <w:p w14:paraId="46538D30" w14:textId="2066F033" w:rsidR="00057B7F" w:rsidRPr="000126D0" w:rsidRDefault="00057B7F" w:rsidP="00057B7F">
            <w:pPr>
              <w:jc w:val="center"/>
              <w:rPr>
                <w:sz w:val="20"/>
                <w:szCs w:val="20"/>
              </w:rPr>
            </w:pPr>
            <w:r w:rsidRPr="000126D0">
              <w:rPr>
                <w:sz w:val="20"/>
                <w:szCs w:val="20"/>
              </w:rPr>
              <w:t>12(21.8)</w:t>
            </w:r>
          </w:p>
        </w:tc>
        <w:tc>
          <w:tcPr>
            <w:tcW w:w="1328" w:type="dxa"/>
          </w:tcPr>
          <w:p w14:paraId="0E5C457B" w14:textId="0D249AAD" w:rsidR="00057B7F" w:rsidRPr="000126D0" w:rsidRDefault="00057B7F" w:rsidP="00057B7F">
            <w:pPr>
              <w:jc w:val="center"/>
              <w:rPr>
                <w:sz w:val="20"/>
                <w:szCs w:val="20"/>
              </w:rPr>
            </w:pPr>
            <w:r w:rsidRPr="000126D0">
              <w:rPr>
                <w:sz w:val="20"/>
                <w:szCs w:val="20"/>
              </w:rPr>
              <w:t>4(5.5)</w:t>
            </w:r>
          </w:p>
        </w:tc>
        <w:tc>
          <w:tcPr>
            <w:tcW w:w="1516" w:type="dxa"/>
          </w:tcPr>
          <w:p w14:paraId="04E22766" w14:textId="731719DC" w:rsidR="00057B7F" w:rsidRPr="000126D0" w:rsidRDefault="00057B7F" w:rsidP="00057B7F">
            <w:pPr>
              <w:jc w:val="center"/>
              <w:rPr>
                <w:sz w:val="20"/>
                <w:szCs w:val="20"/>
              </w:rPr>
            </w:pPr>
            <w:r w:rsidRPr="000126D0">
              <w:rPr>
                <w:sz w:val="20"/>
                <w:szCs w:val="20"/>
              </w:rPr>
              <w:t>11(52.4)</w:t>
            </w:r>
          </w:p>
        </w:tc>
        <w:tc>
          <w:tcPr>
            <w:tcW w:w="1538" w:type="dxa"/>
          </w:tcPr>
          <w:p w14:paraId="730E31DE" w14:textId="79B2289E" w:rsidR="00057B7F" w:rsidRPr="000126D0" w:rsidRDefault="00057B7F" w:rsidP="00057B7F">
            <w:pPr>
              <w:jc w:val="center"/>
              <w:rPr>
                <w:sz w:val="20"/>
                <w:szCs w:val="20"/>
              </w:rPr>
            </w:pPr>
            <w:r w:rsidRPr="000126D0">
              <w:rPr>
                <w:sz w:val="20"/>
                <w:szCs w:val="20"/>
              </w:rPr>
              <w:t>-</w:t>
            </w:r>
          </w:p>
        </w:tc>
        <w:tc>
          <w:tcPr>
            <w:tcW w:w="1731" w:type="dxa"/>
          </w:tcPr>
          <w:p w14:paraId="029C0C3C" w14:textId="39897A99" w:rsidR="00057B7F" w:rsidRPr="000126D0" w:rsidRDefault="00057B7F" w:rsidP="00057B7F">
            <w:pPr>
              <w:jc w:val="center"/>
              <w:rPr>
                <w:sz w:val="20"/>
                <w:szCs w:val="20"/>
              </w:rPr>
            </w:pPr>
            <w:r w:rsidRPr="000126D0">
              <w:rPr>
                <w:sz w:val="20"/>
                <w:szCs w:val="20"/>
              </w:rPr>
              <w:t>-</w:t>
            </w:r>
          </w:p>
        </w:tc>
      </w:tr>
      <w:tr w:rsidR="00057B7F" w14:paraId="0AC9D730" w14:textId="77777777" w:rsidTr="00347EAA">
        <w:trPr>
          <w:trHeight w:val="306"/>
        </w:trPr>
        <w:tc>
          <w:tcPr>
            <w:tcW w:w="1718" w:type="dxa"/>
          </w:tcPr>
          <w:p w14:paraId="487E7CA7" w14:textId="1364283D" w:rsidR="00057B7F" w:rsidRPr="000126D0" w:rsidRDefault="00057B7F" w:rsidP="00057B7F">
            <w:pPr>
              <w:rPr>
                <w:sz w:val="20"/>
                <w:szCs w:val="20"/>
              </w:rPr>
            </w:pPr>
            <w:r w:rsidRPr="000126D0">
              <w:rPr>
                <w:sz w:val="20"/>
                <w:szCs w:val="20"/>
              </w:rPr>
              <w:t>18-19</w:t>
            </w:r>
          </w:p>
        </w:tc>
        <w:tc>
          <w:tcPr>
            <w:tcW w:w="1349" w:type="dxa"/>
          </w:tcPr>
          <w:p w14:paraId="3780F74C" w14:textId="60F2FEF9" w:rsidR="00057B7F" w:rsidRPr="000126D0" w:rsidRDefault="00057B7F" w:rsidP="00057B7F">
            <w:pPr>
              <w:jc w:val="center"/>
              <w:rPr>
                <w:sz w:val="20"/>
                <w:szCs w:val="20"/>
              </w:rPr>
            </w:pPr>
            <w:r w:rsidRPr="000126D0">
              <w:rPr>
                <w:sz w:val="20"/>
                <w:szCs w:val="20"/>
              </w:rPr>
              <w:t>27(49.1)</w:t>
            </w:r>
          </w:p>
        </w:tc>
        <w:tc>
          <w:tcPr>
            <w:tcW w:w="1328" w:type="dxa"/>
          </w:tcPr>
          <w:p w14:paraId="699BF646" w14:textId="639B4B05" w:rsidR="00057B7F" w:rsidRPr="000126D0" w:rsidRDefault="00057B7F" w:rsidP="00057B7F">
            <w:pPr>
              <w:jc w:val="center"/>
              <w:rPr>
                <w:sz w:val="20"/>
                <w:szCs w:val="20"/>
              </w:rPr>
            </w:pPr>
            <w:r w:rsidRPr="000126D0">
              <w:rPr>
                <w:sz w:val="20"/>
                <w:szCs w:val="20"/>
              </w:rPr>
              <w:t>3(4.1)</w:t>
            </w:r>
          </w:p>
        </w:tc>
        <w:tc>
          <w:tcPr>
            <w:tcW w:w="1516" w:type="dxa"/>
          </w:tcPr>
          <w:p w14:paraId="1F43C934" w14:textId="0CB1DE7F" w:rsidR="00057B7F" w:rsidRPr="000126D0" w:rsidRDefault="00057B7F" w:rsidP="00057B7F">
            <w:pPr>
              <w:jc w:val="center"/>
              <w:rPr>
                <w:sz w:val="20"/>
                <w:szCs w:val="20"/>
              </w:rPr>
            </w:pPr>
            <w:r w:rsidRPr="000126D0">
              <w:rPr>
                <w:sz w:val="20"/>
                <w:szCs w:val="20"/>
              </w:rPr>
              <w:t>8(38.1)</w:t>
            </w:r>
          </w:p>
        </w:tc>
        <w:tc>
          <w:tcPr>
            <w:tcW w:w="1538" w:type="dxa"/>
          </w:tcPr>
          <w:p w14:paraId="068A8757" w14:textId="54500E45" w:rsidR="00057B7F" w:rsidRPr="000126D0" w:rsidRDefault="00057B7F" w:rsidP="00057B7F">
            <w:pPr>
              <w:jc w:val="center"/>
              <w:rPr>
                <w:sz w:val="20"/>
                <w:szCs w:val="20"/>
              </w:rPr>
            </w:pPr>
            <w:r w:rsidRPr="000126D0">
              <w:rPr>
                <w:sz w:val="20"/>
                <w:szCs w:val="20"/>
              </w:rPr>
              <w:t>3(60.0)</w:t>
            </w:r>
          </w:p>
        </w:tc>
        <w:tc>
          <w:tcPr>
            <w:tcW w:w="1731" w:type="dxa"/>
          </w:tcPr>
          <w:p w14:paraId="0B76D7F8" w14:textId="2AF5BF29" w:rsidR="00057B7F" w:rsidRPr="000126D0" w:rsidRDefault="00057B7F" w:rsidP="00057B7F">
            <w:pPr>
              <w:jc w:val="center"/>
              <w:rPr>
                <w:sz w:val="20"/>
                <w:szCs w:val="20"/>
              </w:rPr>
            </w:pPr>
            <w:r w:rsidRPr="000126D0">
              <w:rPr>
                <w:sz w:val="20"/>
                <w:szCs w:val="20"/>
              </w:rPr>
              <w:t>1(14.3)</w:t>
            </w:r>
          </w:p>
        </w:tc>
      </w:tr>
      <w:tr w:rsidR="00057B7F" w14:paraId="5B7E9B26" w14:textId="77777777" w:rsidTr="00347EAA">
        <w:trPr>
          <w:trHeight w:val="306"/>
        </w:trPr>
        <w:tc>
          <w:tcPr>
            <w:tcW w:w="1718" w:type="dxa"/>
          </w:tcPr>
          <w:p w14:paraId="4A901FCE" w14:textId="10B3A82D" w:rsidR="00057B7F" w:rsidRPr="000126D0" w:rsidRDefault="00057B7F" w:rsidP="00057B7F">
            <w:pPr>
              <w:rPr>
                <w:b/>
                <w:bCs/>
                <w:sz w:val="20"/>
                <w:szCs w:val="20"/>
              </w:rPr>
            </w:pPr>
            <w:r w:rsidRPr="000126D0">
              <w:rPr>
                <w:b/>
                <w:bCs/>
                <w:sz w:val="20"/>
                <w:szCs w:val="20"/>
              </w:rPr>
              <w:t xml:space="preserve">Sex, </w:t>
            </w:r>
            <w:proofErr w:type="gramStart"/>
            <w:r w:rsidRPr="000126D0">
              <w:rPr>
                <w:b/>
                <w:bCs/>
                <w:sz w:val="20"/>
                <w:szCs w:val="20"/>
              </w:rPr>
              <w:t>n(</w:t>
            </w:r>
            <w:proofErr w:type="gramEnd"/>
            <w:r w:rsidRPr="000126D0">
              <w:rPr>
                <w:b/>
                <w:bCs/>
                <w:sz w:val="20"/>
                <w:szCs w:val="20"/>
              </w:rPr>
              <w:t>%)</w:t>
            </w:r>
          </w:p>
        </w:tc>
        <w:tc>
          <w:tcPr>
            <w:tcW w:w="1349" w:type="dxa"/>
          </w:tcPr>
          <w:p w14:paraId="1620F370" w14:textId="77777777" w:rsidR="00057B7F" w:rsidRPr="000126D0" w:rsidRDefault="00057B7F" w:rsidP="00057B7F">
            <w:pPr>
              <w:jc w:val="center"/>
              <w:rPr>
                <w:sz w:val="20"/>
                <w:szCs w:val="20"/>
              </w:rPr>
            </w:pPr>
          </w:p>
        </w:tc>
        <w:tc>
          <w:tcPr>
            <w:tcW w:w="1328" w:type="dxa"/>
          </w:tcPr>
          <w:p w14:paraId="0927BBC0" w14:textId="77777777" w:rsidR="00057B7F" w:rsidRPr="000126D0" w:rsidRDefault="00057B7F" w:rsidP="00057B7F">
            <w:pPr>
              <w:jc w:val="center"/>
              <w:rPr>
                <w:sz w:val="20"/>
                <w:szCs w:val="20"/>
              </w:rPr>
            </w:pPr>
          </w:p>
        </w:tc>
        <w:tc>
          <w:tcPr>
            <w:tcW w:w="1516" w:type="dxa"/>
          </w:tcPr>
          <w:p w14:paraId="545A60BB" w14:textId="77777777" w:rsidR="00057B7F" w:rsidRPr="000126D0" w:rsidRDefault="00057B7F" w:rsidP="00057B7F">
            <w:pPr>
              <w:jc w:val="center"/>
              <w:rPr>
                <w:sz w:val="20"/>
                <w:szCs w:val="20"/>
              </w:rPr>
            </w:pPr>
          </w:p>
        </w:tc>
        <w:tc>
          <w:tcPr>
            <w:tcW w:w="1538" w:type="dxa"/>
          </w:tcPr>
          <w:p w14:paraId="2A3DD7AD" w14:textId="77777777" w:rsidR="00057B7F" w:rsidRPr="000126D0" w:rsidRDefault="00057B7F" w:rsidP="00057B7F">
            <w:pPr>
              <w:jc w:val="center"/>
              <w:rPr>
                <w:sz w:val="20"/>
                <w:szCs w:val="20"/>
              </w:rPr>
            </w:pPr>
          </w:p>
        </w:tc>
        <w:tc>
          <w:tcPr>
            <w:tcW w:w="1731" w:type="dxa"/>
          </w:tcPr>
          <w:p w14:paraId="2187D759" w14:textId="77777777" w:rsidR="00057B7F" w:rsidRPr="000126D0" w:rsidRDefault="00057B7F" w:rsidP="00057B7F">
            <w:pPr>
              <w:jc w:val="center"/>
              <w:rPr>
                <w:sz w:val="20"/>
                <w:szCs w:val="20"/>
              </w:rPr>
            </w:pPr>
          </w:p>
        </w:tc>
      </w:tr>
      <w:tr w:rsidR="00057B7F" w14:paraId="09E8E1B1" w14:textId="77777777" w:rsidTr="00347EAA">
        <w:trPr>
          <w:trHeight w:val="306"/>
        </w:trPr>
        <w:tc>
          <w:tcPr>
            <w:tcW w:w="1718" w:type="dxa"/>
          </w:tcPr>
          <w:p w14:paraId="58BA8564" w14:textId="11BD7816" w:rsidR="00057B7F" w:rsidRPr="000126D0" w:rsidRDefault="00057B7F" w:rsidP="00057B7F">
            <w:pPr>
              <w:rPr>
                <w:sz w:val="20"/>
                <w:szCs w:val="20"/>
              </w:rPr>
            </w:pPr>
            <w:r w:rsidRPr="000126D0">
              <w:rPr>
                <w:sz w:val="20"/>
                <w:szCs w:val="20"/>
              </w:rPr>
              <w:t>Female</w:t>
            </w:r>
          </w:p>
        </w:tc>
        <w:tc>
          <w:tcPr>
            <w:tcW w:w="1349" w:type="dxa"/>
          </w:tcPr>
          <w:p w14:paraId="069C31F6" w14:textId="04390F1A" w:rsidR="00057B7F" w:rsidRPr="000126D0" w:rsidRDefault="00057B7F" w:rsidP="00057B7F">
            <w:pPr>
              <w:jc w:val="center"/>
              <w:rPr>
                <w:sz w:val="20"/>
                <w:szCs w:val="20"/>
              </w:rPr>
            </w:pPr>
            <w:r w:rsidRPr="000126D0">
              <w:rPr>
                <w:sz w:val="20"/>
                <w:szCs w:val="20"/>
              </w:rPr>
              <w:t>18(32.7)</w:t>
            </w:r>
          </w:p>
        </w:tc>
        <w:tc>
          <w:tcPr>
            <w:tcW w:w="1328" w:type="dxa"/>
          </w:tcPr>
          <w:p w14:paraId="31355BAC" w14:textId="4C25283E" w:rsidR="00057B7F" w:rsidRPr="000126D0" w:rsidRDefault="00057B7F" w:rsidP="00057B7F">
            <w:pPr>
              <w:jc w:val="center"/>
              <w:rPr>
                <w:sz w:val="20"/>
                <w:szCs w:val="20"/>
              </w:rPr>
            </w:pPr>
            <w:r w:rsidRPr="000126D0">
              <w:rPr>
                <w:sz w:val="20"/>
                <w:szCs w:val="20"/>
              </w:rPr>
              <w:t>31(42.4)</w:t>
            </w:r>
          </w:p>
        </w:tc>
        <w:tc>
          <w:tcPr>
            <w:tcW w:w="1516" w:type="dxa"/>
          </w:tcPr>
          <w:p w14:paraId="670A9CE4" w14:textId="4756A81C" w:rsidR="00057B7F" w:rsidRPr="000126D0" w:rsidRDefault="00057B7F" w:rsidP="00057B7F">
            <w:pPr>
              <w:jc w:val="center"/>
              <w:rPr>
                <w:sz w:val="20"/>
                <w:szCs w:val="20"/>
              </w:rPr>
            </w:pPr>
            <w:r w:rsidRPr="000126D0">
              <w:rPr>
                <w:sz w:val="20"/>
                <w:szCs w:val="20"/>
              </w:rPr>
              <w:t>7(33.3)</w:t>
            </w:r>
          </w:p>
        </w:tc>
        <w:tc>
          <w:tcPr>
            <w:tcW w:w="1538" w:type="dxa"/>
          </w:tcPr>
          <w:p w14:paraId="1D31B4A4" w14:textId="530F98D7" w:rsidR="00057B7F" w:rsidRPr="000126D0" w:rsidRDefault="00057B7F" w:rsidP="00057B7F">
            <w:pPr>
              <w:jc w:val="center"/>
              <w:rPr>
                <w:sz w:val="20"/>
                <w:szCs w:val="20"/>
              </w:rPr>
            </w:pPr>
            <w:r w:rsidRPr="000126D0">
              <w:rPr>
                <w:sz w:val="20"/>
                <w:szCs w:val="20"/>
              </w:rPr>
              <w:t>1(20.0)</w:t>
            </w:r>
          </w:p>
        </w:tc>
        <w:tc>
          <w:tcPr>
            <w:tcW w:w="1731" w:type="dxa"/>
          </w:tcPr>
          <w:p w14:paraId="16EBBAF1" w14:textId="70A544CA" w:rsidR="00057B7F" w:rsidRPr="000126D0" w:rsidRDefault="00057B7F" w:rsidP="00057B7F">
            <w:pPr>
              <w:jc w:val="center"/>
              <w:rPr>
                <w:sz w:val="20"/>
                <w:szCs w:val="20"/>
              </w:rPr>
            </w:pPr>
            <w:r w:rsidRPr="000126D0">
              <w:rPr>
                <w:sz w:val="20"/>
                <w:szCs w:val="20"/>
              </w:rPr>
              <w:t>4(57.1)</w:t>
            </w:r>
          </w:p>
        </w:tc>
      </w:tr>
      <w:tr w:rsidR="00057B7F" w14:paraId="6AF3A798" w14:textId="77777777" w:rsidTr="00347EAA">
        <w:trPr>
          <w:trHeight w:val="306"/>
        </w:trPr>
        <w:tc>
          <w:tcPr>
            <w:tcW w:w="1718" w:type="dxa"/>
          </w:tcPr>
          <w:p w14:paraId="2B3131FD" w14:textId="4A7B25E0" w:rsidR="00057B7F" w:rsidRPr="000126D0" w:rsidRDefault="00057B7F" w:rsidP="00057B7F">
            <w:pPr>
              <w:rPr>
                <w:sz w:val="20"/>
                <w:szCs w:val="20"/>
              </w:rPr>
            </w:pPr>
            <w:r w:rsidRPr="000126D0">
              <w:rPr>
                <w:sz w:val="20"/>
                <w:szCs w:val="20"/>
              </w:rPr>
              <w:t>Male</w:t>
            </w:r>
          </w:p>
        </w:tc>
        <w:tc>
          <w:tcPr>
            <w:tcW w:w="1349" w:type="dxa"/>
          </w:tcPr>
          <w:p w14:paraId="19578F1A" w14:textId="574EDE75" w:rsidR="00057B7F" w:rsidRPr="000126D0" w:rsidRDefault="00057B7F" w:rsidP="00057B7F">
            <w:pPr>
              <w:jc w:val="center"/>
              <w:rPr>
                <w:sz w:val="20"/>
                <w:szCs w:val="20"/>
              </w:rPr>
            </w:pPr>
            <w:r w:rsidRPr="000126D0">
              <w:rPr>
                <w:sz w:val="20"/>
                <w:szCs w:val="20"/>
              </w:rPr>
              <w:t>37(62.2)</w:t>
            </w:r>
          </w:p>
        </w:tc>
        <w:tc>
          <w:tcPr>
            <w:tcW w:w="1328" w:type="dxa"/>
          </w:tcPr>
          <w:p w14:paraId="4F19AA44" w14:textId="14506D73" w:rsidR="00057B7F" w:rsidRPr="000126D0" w:rsidRDefault="00057B7F" w:rsidP="00057B7F">
            <w:pPr>
              <w:jc w:val="center"/>
              <w:rPr>
                <w:sz w:val="20"/>
                <w:szCs w:val="20"/>
              </w:rPr>
            </w:pPr>
            <w:r w:rsidRPr="000126D0">
              <w:rPr>
                <w:sz w:val="20"/>
                <w:szCs w:val="20"/>
              </w:rPr>
              <w:t>42(57.5)</w:t>
            </w:r>
          </w:p>
        </w:tc>
        <w:tc>
          <w:tcPr>
            <w:tcW w:w="1516" w:type="dxa"/>
          </w:tcPr>
          <w:p w14:paraId="26A5DA08" w14:textId="3DFD4658" w:rsidR="00057B7F" w:rsidRPr="000126D0" w:rsidRDefault="00057B7F" w:rsidP="00057B7F">
            <w:pPr>
              <w:jc w:val="center"/>
              <w:rPr>
                <w:sz w:val="20"/>
                <w:szCs w:val="20"/>
              </w:rPr>
            </w:pPr>
            <w:r w:rsidRPr="000126D0">
              <w:rPr>
                <w:sz w:val="20"/>
                <w:szCs w:val="20"/>
              </w:rPr>
              <w:t>14(66.7)</w:t>
            </w:r>
          </w:p>
        </w:tc>
        <w:tc>
          <w:tcPr>
            <w:tcW w:w="1538" w:type="dxa"/>
          </w:tcPr>
          <w:p w14:paraId="43AA2AE4" w14:textId="46327608" w:rsidR="00057B7F" w:rsidRPr="000126D0" w:rsidRDefault="00057B7F" w:rsidP="00057B7F">
            <w:pPr>
              <w:jc w:val="center"/>
              <w:rPr>
                <w:sz w:val="20"/>
                <w:szCs w:val="20"/>
              </w:rPr>
            </w:pPr>
            <w:r w:rsidRPr="000126D0">
              <w:rPr>
                <w:sz w:val="20"/>
                <w:szCs w:val="20"/>
              </w:rPr>
              <w:t>4(80.0)</w:t>
            </w:r>
          </w:p>
        </w:tc>
        <w:tc>
          <w:tcPr>
            <w:tcW w:w="1731" w:type="dxa"/>
          </w:tcPr>
          <w:p w14:paraId="723C3954" w14:textId="6D4D82F2" w:rsidR="00057B7F" w:rsidRPr="000126D0" w:rsidRDefault="00057B7F" w:rsidP="00057B7F">
            <w:pPr>
              <w:jc w:val="center"/>
              <w:rPr>
                <w:sz w:val="20"/>
                <w:szCs w:val="20"/>
              </w:rPr>
            </w:pPr>
            <w:r w:rsidRPr="000126D0">
              <w:rPr>
                <w:sz w:val="20"/>
                <w:szCs w:val="20"/>
              </w:rPr>
              <w:t>3(42.8)</w:t>
            </w:r>
          </w:p>
        </w:tc>
      </w:tr>
      <w:tr w:rsidR="00057B7F" w14:paraId="69D547F4" w14:textId="77777777" w:rsidTr="00347EAA">
        <w:trPr>
          <w:trHeight w:val="306"/>
        </w:trPr>
        <w:tc>
          <w:tcPr>
            <w:tcW w:w="1718" w:type="dxa"/>
          </w:tcPr>
          <w:p w14:paraId="7C71A85F" w14:textId="57478596" w:rsidR="00057B7F" w:rsidRPr="000126D0" w:rsidRDefault="00057B7F" w:rsidP="00057B7F">
            <w:pPr>
              <w:rPr>
                <w:b/>
                <w:bCs/>
                <w:sz w:val="20"/>
                <w:szCs w:val="20"/>
              </w:rPr>
            </w:pPr>
            <w:r w:rsidRPr="000126D0">
              <w:rPr>
                <w:b/>
                <w:bCs/>
                <w:sz w:val="20"/>
                <w:szCs w:val="20"/>
              </w:rPr>
              <w:t xml:space="preserve">Race and Ethnicity, </w:t>
            </w:r>
            <w:proofErr w:type="gramStart"/>
            <w:r w:rsidRPr="000126D0">
              <w:rPr>
                <w:b/>
                <w:bCs/>
                <w:sz w:val="20"/>
                <w:szCs w:val="20"/>
              </w:rPr>
              <w:t>n(</w:t>
            </w:r>
            <w:proofErr w:type="gramEnd"/>
            <w:r w:rsidRPr="000126D0">
              <w:rPr>
                <w:b/>
                <w:bCs/>
                <w:sz w:val="20"/>
                <w:szCs w:val="20"/>
              </w:rPr>
              <w:t>%)</w:t>
            </w:r>
          </w:p>
        </w:tc>
        <w:tc>
          <w:tcPr>
            <w:tcW w:w="1349" w:type="dxa"/>
          </w:tcPr>
          <w:p w14:paraId="2F554970" w14:textId="77777777" w:rsidR="00057B7F" w:rsidRPr="000126D0" w:rsidRDefault="00057B7F" w:rsidP="00057B7F">
            <w:pPr>
              <w:jc w:val="center"/>
              <w:rPr>
                <w:sz w:val="20"/>
                <w:szCs w:val="20"/>
              </w:rPr>
            </w:pPr>
          </w:p>
        </w:tc>
        <w:tc>
          <w:tcPr>
            <w:tcW w:w="1328" w:type="dxa"/>
          </w:tcPr>
          <w:p w14:paraId="75EF0A27" w14:textId="77777777" w:rsidR="00057B7F" w:rsidRPr="000126D0" w:rsidRDefault="00057B7F" w:rsidP="00057B7F">
            <w:pPr>
              <w:jc w:val="center"/>
              <w:rPr>
                <w:sz w:val="20"/>
                <w:szCs w:val="20"/>
              </w:rPr>
            </w:pPr>
          </w:p>
        </w:tc>
        <w:tc>
          <w:tcPr>
            <w:tcW w:w="1516" w:type="dxa"/>
          </w:tcPr>
          <w:p w14:paraId="6E656A68" w14:textId="77777777" w:rsidR="00057B7F" w:rsidRPr="000126D0" w:rsidRDefault="00057B7F" w:rsidP="00057B7F">
            <w:pPr>
              <w:jc w:val="center"/>
              <w:rPr>
                <w:sz w:val="20"/>
                <w:szCs w:val="20"/>
              </w:rPr>
            </w:pPr>
          </w:p>
        </w:tc>
        <w:tc>
          <w:tcPr>
            <w:tcW w:w="1538" w:type="dxa"/>
          </w:tcPr>
          <w:p w14:paraId="43B01BE1" w14:textId="77777777" w:rsidR="00057B7F" w:rsidRPr="000126D0" w:rsidRDefault="00057B7F" w:rsidP="00057B7F">
            <w:pPr>
              <w:jc w:val="center"/>
              <w:rPr>
                <w:sz w:val="20"/>
                <w:szCs w:val="20"/>
              </w:rPr>
            </w:pPr>
          </w:p>
        </w:tc>
        <w:tc>
          <w:tcPr>
            <w:tcW w:w="1731" w:type="dxa"/>
          </w:tcPr>
          <w:p w14:paraId="562A6991" w14:textId="77777777" w:rsidR="00057B7F" w:rsidRPr="000126D0" w:rsidRDefault="00057B7F" w:rsidP="00057B7F">
            <w:pPr>
              <w:jc w:val="center"/>
              <w:rPr>
                <w:sz w:val="20"/>
                <w:szCs w:val="20"/>
              </w:rPr>
            </w:pPr>
          </w:p>
        </w:tc>
      </w:tr>
      <w:tr w:rsidR="00057B7F" w14:paraId="32998B6B" w14:textId="77777777" w:rsidTr="00347EAA">
        <w:trPr>
          <w:trHeight w:val="306"/>
        </w:trPr>
        <w:tc>
          <w:tcPr>
            <w:tcW w:w="1718" w:type="dxa"/>
          </w:tcPr>
          <w:p w14:paraId="71A31C46" w14:textId="5240E7D9" w:rsidR="00057B7F" w:rsidRPr="000126D0" w:rsidRDefault="00057B7F" w:rsidP="00057B7F">
            <w:pPr>
              <w:rPr>
                <w:sz w:val="20"/>
                <w:szCs w:val="20"/>
              </w:rPr>
            </w:pPr>
            <w:r w:rsidRPr="000126D0">
              <w:rPr>
                <w:sz w:val="20"/>
                <w:szCs w:val="20"/>
              </w:rPr>
              <w:t>Hispanic/Latino</w:t>
            </w:r>
          </w:p>
        </w:tc>
        <w:tc>
          <w:tcPr>
            <w:tcW w:w="1349" w:type="dxa"/>
          </w:tcPr>
          <w:p w14:paraId="1980A2D1" w14:textId="368552DB" w:rsidR="00057B7F" w:rsidRPr="000126D0" w:rsidRDefault="00057B7F" w:rsidP="00057B7F">
            <w:pPr>
              <w:jc w:val="center"/>
              <w:rPr>
                <w:sz w:val="20"/>
                <w:szCs w:val="20"/>
              </w:rPr>
            </w:pPr>
            <w:r w:rsidRPr="000126D0">
              <w:rPr>
                <w:sz w:val="20"/>
                <w:szCs w:val="20"/>
              </w:rPr>
              <w:t>12(21.8)</w:t>
            </w:r>
          </w:p>
        </w:tc>
        <w:tc>
          <w:tcPr>
            <w:tcW w:w="1328" w:type="dxa"/>
          </w:tcPr>
          <w:p w14:paraId="76F2E94A" w14:textId="704AA8BD" w:rsidR="00057B7F" w:rsidRPr="000126D0" w:rsidRDefault="00057B7F" w:rsidP="00057B7F">
            <w:pPr>
              <w:jc w:val="center"/>
              <w:rPr>
                <w:sz w:val="20"/>
                <w:szCs w:val="20"/>
              </w:rPr>
            </w:pPr>
            <w:r w:rsidRPr="000126D0">
              <w:rPr>
                <w:sz w:val="20"/>
                <w:szCs w:val="20"/>
              </w:rPr>
              <w:t>11(15.1)</w:t>
            </w:r>
          </w:p>
        </w:tc>
        <w:tc>
          <w:tcPr>
            <w:tcW w:w="1516" w:type="dxa"/>
          </w:tcPr>
          <w:p w14:paraId="5FECB304" w14:textId="5566BC8A" w:rsidR="00057B7F" w:rsidRPr="000126D0" w:rsidRDefault="00057B7F" w:rsidP="00057B7F">
            <w:pPr>
              <w:jc w:val="center"/>
              <w:rPr>
                <w:sz w:val="20"/>
                <w:szCs w:val="20"/>
              </w:rPr>
            </w:pPr>
            <w:r w:rsidRPr="000126D0">
              <w:rPr>
                <w:sz w:val="20"/>
                <w:szCs w:val="20"/>
              </w:rPr>
              <w:t>6(28.6)</w:t>
            </w:r>
          </w:p>
        </w:tc>
        <w:tc>
          <w:tcPr>
            <w:tcW w:w="1538" w:type="dxa"/>
          </w:tcPr>
          <w:p w14:paraId="169C9977" w14:textId="5F411FD9" w:rsidR="00057B7F" w:rsidRPr="000126D0" w:rsidRDefault="00057B7F" w:rsidP="00057B7F">
            <w:pPr>
              <w:jc w:val="center"/>
              <w:rPr>
                <w:sz w:val="20"/>
                <w:szCs w:val="20"/>
              </w:rPr>
            </w:pPr>
            <w:r w:rsidRPr="000126D0">
              <w:rPr>
                <w:sz w:val="20"/>
                <w:szCs w:val="20"/>
              </w:rPr>
              <w:t>1(20.0)</w:t>
            </w:r>
          </w:p>
        </w:tc>
        <w:tc>
          <w:tcPr>
            <w:tcW w:w="1731" w:type="dxa"/>
          </w:tcPr>
          <w:p w14:paraId="10B82B1F" w14:textId="6E3C6EC1" w:rsidR="00057B7F" w:rsidRPr="000126D0" w:rsidRDefault="00057B7F" w:rsidP="00057B7F">
            <w:pPr>
              <w:jc w:val="center"/>
              <w:rPr>
                <w:sz w:val="20"/>
                <w:szCs w:val="20"/>
              </w:rPr>
            </w:pPr>
            <w:r w:rsidRPr="000126D0">
              <w:rPr>
                <w:sz w:val="20"/>
                <w:szCs w:val="20"/>
              </w:rPr>
              <w:t>-</w:t>
            </w:r>
          </w:p>
        </w:tc>
      </w:tr>
      <w:tr w:rsidR="00057B7F" w14:paraId="60DFD7CF" w14:textId="77777777" w:rsidTr="00347EAA">
        <w:trPr>
          <w:trHeight w:val="306"/>
        </w:trPr>
        <w:tc>
          <w:tcPr>
            <w:tcW w:w="1718" w:type="dxa"/>
          </w:tcPr>
          <w:p w14:paraId="7E149B57" w14:textId="322BE18E" w:rsidR="00057B7F" w:rsidRPr="000126D0" w:rsidRDefault="00057B7F" w:rsidP="00057B7F">
            <w:pPr>
              <w:rPr>
                <w:sz w:val="20"/>
                <w:szCs w:val="20"/>
              </w:rPr>
            </w:pPr>
            <w:r w:rsidRPr="000126D0">
              <w:rPr>
                <w:sz w:val="20"/>
                <w:szCs w:val="20"/>
              </w:rPr>
              <w:lastRenderedPageBreak/>
              <w:t>American Indian/Alaskan Native</w:t>
            </w:r>
          </w:p>
        </w:tc>
        <w:tc>
          <w:tcPr>
            <w:tcW w:w="1349" w:type="dxa"/>
          </w:tcPr>
          <w:p w14:paraId="77985582" w14:textId="783D0E96" w:rsidR="00057B7F" w:rsidRPr="000126D0" w:rsidRDefault="00057B7F" w:rsidP="00057B7F">
            <w:pPr>
              <w:jc w:val="center"/>
              <w:rPr>
                <w:sz w:val="20"/>
                <w:szCs w:val="20"/>
              </w:rPr>
            </w:pPr>
            <w:r w:rsidRPr="000126D0">
              <w:rPr>
                <w:sz w:val="20"/>
                <w:szCs w:val="20"/>
              </w:rPr>
              <w:t>2(3.6)</w:t>
            </w:r>
          </w:p>
        </w:tc>
        <w:tc>
          <w:tcPr>
            <w:tcW w:w="1328" w:type="dxa"/>
          </w:tcPr>
          <w:p w14:paraId="2A1554A3" w14:textId="4139BC04" w:rsidR="00057B7F" w:rsidRPr="000126D0" w:rsidRDefault="00057B7F" w:rsidP="00057B7F">
            <w:pPr>
              <w:jc w:val="center"/>
              <w:rPr>
                <w:sz w:val="20"/>
                <w:szCs w:val="20"/>
              </w:rPr>
            </w:pPr>
            <w:r w:rsidRPr="000126D0">
              <w:rPr>
                <w:sz w:val="20"/>
                <w:szCs w:val="20"/>
              </w:rPr>
              <w:t>1(1.4)</w:t>
            </w:r>
          </w:p>
        </w:tc>
        <w:tc>
          <w:tcPr>
            <w:tcW w:w="1516" w:type="dxa"/>
          </w:tcPr>
          <w:p w14:paraId="0F5CC729" w14:textId="7E62735E" w:rsidR="00057B7F" w:rsidRPr="000126D0" w:rsidRDefault="00057B7F" w:rsidP="00057B7F">
            <w:pPr>
              <w:jc w:val="center"/>
              <w:rPr>
                <w:sz w:val="20"/>
                <w:szCs w:val="20"/>
              </w:rPr>
            </w:pPr>
            <w:r w:rsidRPr="000126D0">
              <w:rPr>
                <w:sz w:val="20"/>
                <w:szCs w:val="20"/>
              </w:rPr>
              <w:t>-</w:t>
            </w:r>
          </w:p>
        </w:tc>
        <w:tc>
          <w:tcPr>
            <w:tcW w:w="1538" w:type="dxa"/>
          </w:tcPr>
          <w:p w14:paraId="7551307B" w14:textId="21F0C6CD" w:rsidR="00057B7F" w:rsidRPr="000126D0" w:rsidRDefault="00057B7F" w:rsidP="00057B7F">
            <w:pPr>
              <w:jc w:val="center"/>
              <w:rPr>
                <w:sz w:val="20"/>
                <w:szCs w:val="20"/>
              </w:rPr>
            </w:pPr>
            <w:r w:rsidRPr="000126D0">
              <w:rPr>
                <w:sz w:val="20"/>
                <w:szCs w:val="20"/>
              </w:rPr>
              <w:t>-</w:t>
            </w:r>
          </w:p>
        </w:tc>
        <w:tc>
          <w:tcPr>
            <w:tcW w:w="1731" w:type="dxa"/>
          </w:tcPr>
          <w:p w14:paraId="46BDCE8D" w14:textId="2D075E72" w:rsidR="00057B7F" w:rsidRPr="000126D0" w:rsidRDefault="00057B7F" w:rsidP="00057B7F">
            <w:pPr>
              <w:jc w:val="center"/>
              <w:rPr>
                <w:sz w:val="20"/>
                <w:szCs w:val="20"/>
              </w:rPr>
            </w:pPr>
            <w:r w:rsidRPr="000126D0">
              <w:rPr>
                <w:sz w:val="20"/>
                <w:szCs w:val="20"/>
              </w:rPr>
              <w:t>-</w:t>
            </w:r>
          </w:p>
        </w:tc>
      </w:tr>
      <w:tr w:rsidR="00057B7F" w14:paraId="51A5C4C8" w14:textId="77777777" w:rsidTr="00347EAA">
        <w:trPr>
          <w:trHeight w:val="306"/>
        </w:trPr>
        <w:tc>
          <w:tcPr>
            <w:tcW w:w="1718" w:type="dxa"/>
          </w:tcPr>
          <w:p w14:paraId="53B562A5" w14:textId="3B209014" w:rsidR="00057B7F" w:rsidRPr="000126D0" w:rsidRDefault="00057B7F" w:rsidP="00057B7F">
            <w:pPr>
              <w:rPr>
                <w:sz w:val="20"/>
                <w:szCs w:val="20"/>
              </w:rPr>
            </w:pPr>
            <w:r w:rsidRPr="000126D0">
              <w:rPr>
                <w:sz w:val="20"/>
                <w:szCs w:val="20"/>
              </w:rPr>
              <w:t>Asian</w:t>
            </w:r>
          </w:p>
        </w:tc>
        <w:tc>
          <w:tcPr>
            <w:tcW w:w="1349" w:type="dxa"/>
          </w:tcPr>
          <w:p w14:paraId="7096436F" w14:textId="50374EB0" w:rsidR="00057B7F" w:rsidRPr="000126D0" w:rsidRDefault="00057B7F" w:rsidP="00057B7F">
            <w:pPr>
              <w:jc w:val="center"/>
              <w:rPr>
                <w:sz w:val="20"/>
                <w:szCs w:val="20"/>
              </w:rPr>
            </w:pPr>
            <w:r w:rsidRPr="000126D0">
              <w:rPr>
                <w:sz w:val="20"/>
                <w:szCs w:val="20"/>
              </w:rPr>
              <w:t>3(5.5)</w:t>
            </w:r>
          </w:p>
        </w:tc>
        <w:tc>
          <w:tcPr>
            <w:tcW w:w="1328" w:type="dxa"/>
          </w:tcPr>
          <w:p w14:paraId="4FA5DDF4" w14:textId="365DA134" w:rsidR="00057B7F" w:rsidRPr="000126D0" w:rsidRDefault="00057B7F" w:rsidP="00057B7F">
            <w:pPr>
              <w:jc w:val="center"/>
              <w:rPr>
                <w:sz w:val="20"/>
                <w:szCs w:val="20"/>
              </w:rPr>
            </w:pPr>
            <w:r w:rsidRPr="000126D0">
              <w:rPr>
                <w:sz w:val="20"/>
                <w:szCs w:val="20"/>
              </w:rPr>
              <w:t>3(4.1)</w:t>
            </w:r>
          </w:p>
        </w:tc>
        <w:tc>
          <w:tcPr>
            <w:tcW w:w="1516" w:type="dxa"/>
          </w:tcPr>
          <w:p w14:paraId="2940B162" w14:textId="2A527632" w:rsidR="00057B7F" w:rsidRPr="000126D0" w:rsidRDefault="00057B7F" w:rsidP="00057B7F">
            <w:pPr>
              <w:jc w:val="center"/>
              <w:rPr>
                <w:sz w:val="20"/>
                <w:szCs w:val="20"/>
              </w:rPr>
            </w:pPr>
            <w:r w:rsidRPr="000126D0">
              <w:rPr>
                <w:sz w:val="20"/>
                <w:szCs w:val="20"/>
              </w:rPr>
              <w:t>-</w:t>
            </w:r>
          </w:p>
        </w:tc>
        <w:tc>
          <w:tcPr>
            <w:tcW w:w="1538" w:type="dxa"/>
          </w:tcPr>
          <w:p w14:paraId="31E1CAFA" w14:textId="388D1735" w:rsidR="00057B7F" w:rsidRPr="000126D0" w:rsidRDefault="00057B7F" w:rsidP="00057B7F">
            <w:pPr>
              <w:jc w:val="center"/>
              <w:rPr>
                <w:sz w:val="20"/>
                <w:szCs w:val="20"/>
              </w:rPr>
            </w:pPr>
            <w:r w:rsidRPr="000126D0">
              <w:rPr>
                <w:sz w:val="20"/>
                <w:szCs w:val="20"/>
              </w:rPr>
              <w:t>-</w:t>
            </w:r>
          </w:p>
        </w:tc>
        <w:tc>
          <w:tcPr>
            <w:tcW w:w="1731" w:type="dxa"/>
          </w:tcPr>
          <w:p w14:paraId="3E34B283" w14:textId="17C02B31" w:rsidR="00057B7F" w:rsidRPr="000126D0" w:rsidRDefault="00057B7F" w:rsidP="00057B7F">
            <w:pPr>
              <w:jc w:val="center"/>
              <w:rPr>
                <w:sz w:val="20"/>
                <w:szCs w:val="20"/>
              </w:rPr>
            </w:pPr>
            <w:r w:rsidRPr="000126D0">
              <w:rPr>
                <w:sz w:val="20"/>
                <w:szCs w:val="20"/>
              </w:rPr>
              <w:t>-</w:t>
            </w:r>
          </w:p>
        </w:tc>
      </w:tr>
      <w:tr w:rsidR="00057B7F" w14:paraId="1DB49723" w14:textId="77777777" w:rsidTr="00347EAA">
        <w:trPr>
          <w:trHeight w:val="306"/>
        </w:trPr>
        <w:tc>
          <w:tcPr>
            <w:tcW w:w="1718" w:type="dxa"/>
          </w:tcPr>
          <w:p w14:paraId="764262CD" w14:textId="4740145F" w:rsidR="00057B7F" w:rsidRPr="000126D0" w:rsidRDefault="00057B7F" w:rsidP="00057B7F">
            <w:pPr>
              <w:rPr>
                <w:sz w:val="20"/>
                <w:szCs w:val="20"/>
              </w:rPr>
            </w:pPr>
            <w:r w:rsidRPr="000126D0">
              <w:rPr>
                <w:sz w:val="20"/>
                <w:szCs w:val="20"/>
              </w:rPr>
              <w:t>African American</w:t>
            </w:r>
          </w:p>
        </w:tc>
        <w:tc>
          <w:tcPr>
            <w:tcW w:w="1349" w:type="dxa"/>
          </w:tcPr>
          <w:p w14:paraId="6BD55200" w14:textId="2E2D0264" w:rsidR="00057B7F" w:rsidRPr="000126D0" w:rsidRDefault="00057B7F" w:rsidP="00057B7F">
            <w:pPr>
              <w:jc w:val="center"/>
              <w:rPr>
                <w:sz w:val="20"/>
                <w:szCs w:val="20"/>
              </w:rPr>
            </w:pPr>
            <w:r w:rsidRPr="000126D0">
              <w:rPr>
                <w:sz w:val="20"/>
                <w:szCs w:val="20"/>
              </w:rPr>
              <w:t>1(1.8)</w:t>
            </w:r>
          </w:p>
        </w:tc>
        <w:tc>
          <w:tcPr>
            <w:tcW w:w="1328" w:type="dxa"/>
          </w:tcPr>
          <w:p w14:paraId="71B7A9D5" w14:textId="356172F4" w:rsidR="00057B7F" w:rsidRPr="000126D0" w:rsidRDefault="00057B7F" w:rsidP="00057B7F">
            <w:pPr>
              <w:jc w:val="center"/>
              <w:rPr>
                <w:sz w:val="20"/>
                <w:szCs w:val="20"/>
              </w:rPr>
            </w:pPr>
            <w:r w:rsidRPr="000126D0">
              <w:rPr>
                <w:sz w:val="20"/>
                <w:szCs w:val="20"/>
              </w:rPr>
              <w:t>1(1.4)</w:t>
            </w:r>
          </w:p>
        </w:tc>
        <w:tc>
          <w:tcPr>
            <w:tcW w:w="1516" w:type="dxa"/>
          </w:tcPr>
          <w:p w14:paraId="2DFB3682" w14:textId="066E4E49" w:rsidR="00057B7F" w:rsidRPr="000126D0" w:rsidRDefault="00057B7F" w:rsidP="00057B7F">
            <w:pPr>
              <w:jc w:val="center"/>
              <w:rPr>
                <w:sz w:val="20"/>
                <w:szCs w:val="20"/>
              </w:rPr>
            </w:pPr>
            <w:r w:rsidRPr="000126D0">
              <w:rPr>
                <w:sz w:val="20"/>
                <w:szCs w:val="20"/>
              </w:rPr>
              <w:t>-</w:t>
            </w:r>
          </w:p>
        </w:tc>
        <w:tc>
          <w:tcPr>
            <w:tcW w:w="1538" w:type="dxa"/>
          </w:tcPr>
          <w:p w14:paraId="1966E2E2" w14:textId="5F0B0103" w:rsidR="00057B7F" w:rsidRPr="000126D0" w:rsidRDefault="00057B7F" w:rsidP="00057B7F">
            <w:pPr>
              <w:jc w:val="center"/>
              <w:rPr>
                <w:sz w:val="20"/>
                <w:szCs w:val="20"/>
              </w:rPr>
            </w:pPr>
            <w:r w:rsidRPr="000126D0">
              <w:rPr>
                <w:sz w:val="20"/>
                <w:szCs w:val="20"/>
              </w:rPr>
              <w:t>1(20.0)</w:t>
            </w:r>
          </w:p>
        </w:tc>
        <w:tc>
          <w:tcPr>
            <w:tcW w:w="1731" w:type="dxa"/>
          </w:tcPr>
          <w:p w14:paraId="1B1AC0C9" w14:textId="50BE07DB" w:rsidR="00057B7F" w:rsidRPr="000126D0" w:rsidRDefault="00057B7F" w:rsidP="00057B7F">
            <w:pPr>
              <w:jc w:val="center"/>
              <w:rPr>
                <w:sz w:val="20"/>
                <w:szCs w:val="20"/>
              </w:rPr>
            </w:pPr>
            <w:r w:rsidRPr="000126D0">
              <w:rPr>
                <w:sz w:val="20"/>
                <w:szCs w:val="20"/>
              </w:rPr>
              <w:t>-</w:t>
            </w:r>
          </w:p>
        </w:tc>
      </w:tr>
      <w:tr w:rsidR="00057B7F" w14:paraId="3669850C" w14:textId="77777777" w:rsidTr="00347EAA">
        <w:trPr>
          <w:trHeight w:val="306"/>
        </w:trPr>
        <w:tc>
          <w:tcPr>
            <w:tcW w:w="1718" w:type="dxa"/>
          </w:tcPr>
          <w:p w14:paraId="5364E6ED" w14:textId="6CE354DD" w:rsidR="00057B7F" w:rsidRPr="000126D0" w:rsidRDefault="00057B7F" w:rsidP="00057B7F">
            <w:pPr>
              <w:rPr>
                <w:sz w:val="20"/>
                <w:szCs w:val="20"/>
              </w:rPr>
            </w:pPr>
            <w:r w:rsidRPr="000126D0">
              <w:rPr>
                <w:sz w:val="20"/>
                <w:szCs w:val="20"/>
              </w:rPr>
              <w:t>Multi-Race</w:t>
            </w:r>
          </w:p>
        </w:tc>
        <w:tc>
          <w:tcPr>
            <w:tcW w:w="1349" w:type="dxa"/>
          </w:tcPr>
          <w:p w14:paraId="60FBFAC5" w14:textId="1FBED8B6" w:rsidR="00057B7F" w:rsidRPr="000126D0" w:rsidRDefault="00057B7F" w:rsidP="00057B7F">
            <w:pPr>
              <w:jc w:val="center"/>
              <w:rPr>
                <w:sz w:val="20"/>
                <w:szCs w:val="20"/>
              </w:rPr>
            </w:pPr>
            <w:r w:rsidRPr="000126D0">
              <w:rPr>
                <w:sz w:val="20"/>
                <w:szCs w:val="20"/>
              </w:rPr>
              <w:t>2(3.6)</w:t>
            </w:r>
          </w:p>
        </w:tc>
        <w:tc>
          <w:tcPr>
            <w:tcW w:w="1328" w:type="dxa"/>
          </w:tcPr>
          <w:p w14:paraId="3DD04E41" w14:textId="1449B8EF" w:rsidR="00057B7F" w:rsidRPr="000126D0" w:rsidRDefault="00057B7F" w:rsidP="00057B7F">
            <w:pPr>
              <w:jc w:val="center"/>
              <w:rPr>
                <w:sz w:val="20"/>
                <w:szCs w:val="20"/>
              </w:rPr>
            </w:pPr>
            <w:r w:rsidRPr="000126D0">
              <w:rPr>
                <w:sz w:val="20"/>
                <w:szCs w:val="20"/>
              </w:rPr>
              <w:t>8(11.0)</w:t>
            </w:r>
          </w:p>
        </w:tc>
        <w:tc>
          <w:tcPr>
            <w:tcW w:w="1516" w:type="dxa"/>
          </w:tcPr>
          <w:p w14:paraId="7B56E2A9" w14:textId="683B9EE4" w:rsidR="00057B7F" w:rsidRPr="000126D0" w:rsidRDefault="00057B7F" w:rsidP="00057B7F">
            <w:pPr>
              <w:jc w:val="center"/>
              <w:rPr>
                <w:sz w:val="20"/>
                <w:szCs w:val="20"/>
              </w:rPr>
            </w:pPr>
            <w:r w:rsidRPr="000126D0">
              <w:rPr>
                <w:sz w:val="20"/>
                <w:szCs w:val="20"/>
              </w:rPr>
              <w:t>-</w:t>
            </w:r>
          </w:p>
        </w:tc>
        <w:tc>
          <w:tcPr>
            <w:tcW w:w="1538" w:type="dxa"/>
          </w:tcPr>
          <w:p w14:paraId="4F425F6F" w14:textId="12FFF179" w:rsidR="00057B7F" w:rsidRPr="000126D0" w:rsidRDefault="00057B7F" w:rsidP="00057B7F">
            <w:pPr>
              <w:jc w:val="center"/>
              <w:rPr>
                <w:sz w:val="20"/>
                <w:szCs w:val="20"/>
              </w:rPr>
            </w:pPr>
            <w:r w:rsidRPr="000126D0">
              <w:rPr>
                <w:sz w:val="20"/>
                <w:szCs w:val="20"/>
              </w:rPr>
              <w:t>1(20.0)</w:t>
            </w:r>
          </w:p>
        </w:tc>
        <w:tc>
          <w:tcPr>
            <w:tcW w:w="1731" w:type="dxa"/>
          </w:tcPr>
          <w:p w14:paraId="405410D9" w14:textId="524B6D5D" w:rsidR="00057B7F" w:rsidRPr="000126D0" w:rsidRDefault="00057B7F" w:rsidP="00057B7F">
            <w:pPr>
              <w:jc w:val="center"/>
              <w:rPr>
                <w:sz w:val="20"/>
                <w:szCs w:val="20"/>
              </w:rPr>
            </w:pPr>
            <w:r w:rsidRPr="000126D0">
              <w:rPr>
                <w:sz w:val="20"/>
                <w:szCs w:val="20"/>
              </w:rPr>
              <w:t>-</w:t>
            </w:r>
          </w:p>
        </w:tc>
      </w:tr>
      <w:tr w:rsidR="00057B7F" w14:paraId="5C91391E" w14:textId="77777777" w:rsidTr="00347EAA">
        <w:trPr>
          <w:trHeight w:val="306"/>
        </w:trPr>
        <w:tc>
          <w:tcPr>
            <w:tcW w:w="1718" w:type="dxa"/>
          </w:tcPr>
          <w:p w14:paraId="06083FAA" w14:textId="74488531" w:rsidR="00057B7F" w:rsidRPr="000126D0" w:rsidRDefault="00057B7F" w:rsidP="00057B7F">
            <w:pPr>
              <w:rPr>
                <w:sz w:val="20"/>
                <w:szCs w:val="20"/>
              </w:rPr>
            </w:pPr>
            <w:r w:rsidRPr="000126D0">
              <w:rPr>
                <w:sz w:val="20"/>
                <w:szCs w:val="20"/>
              </w:rPr>
              <w:t>White</w:t>
            </w:r>
          </w:p>
        </w:tc>
        <w:tc>
          <w:tcPr>
            <w:tcW w:w="1349" w:type="dxa"/>
          </w:tcPr>
          <w:p w14:paraId="057F157C" w14:textId="0BBB68E9" w:rsidR="00057B7F" w:rsidRPr="000126D0" w:rsidRDefault="00057B7F" w:rsidP="00057B7F">
            <w:pPr>
              <w:jc w:val="center"/>
              <w:rPr>
                <w:sz w:val="20"/>
                <w:szCs w:val="20"/>
              </w:rPr>
            </w:pPr>
            <w:r w:rsidRPr="000126D0">
              <w:rPr>
                <w:sz w:val="20"/>
                <w:szCs w:val="20"/>
              </w:rPr>
              <w:t>35(63.6)</w:t>
            </w:r>
          </w:p>
        </w:tc>
        <w:tc>
          <w:tcPr>
            <w:tcW w:w="1328" w:type="dxa"/>
          </w:tcPr>
          <w:p w14:paraId="7767D66A" w14:textId="6D801480" w:rsidR="00057B7F" w:rsidRPr="000126D0" w:rsidRDefault="00057B7F" w:rsidP="00057B7F">
            <w:pPr>
              <w:jc w:val="center"/>
              <w:rPr>
                <w:sz w:val="20"/>
                <w:szCs w:val="20"/>
              </w:rPr>
            </w:pPr>
            <w:r w:rsidRPr="000126D0">
              <w:rPr>
                <w:sz w:val="20"/>
                <w:szCs w:val="20"/>
              </w:rPr>
              <w:t>48(65.8)</w:t>
            </w:r>
          </w:p>
        </w:tc>
        <w:tc>
          <w:tcPr>
            <w:tcW w:w="1516" w:type="dxa"/>
          </w:tcPr>
          <w:p w14:paraId="65998C54" w14:textId="5A939C62" w:rsidR="00057B7F" w:rsidRPr="000126D0" w:rsidRDefault="00057B7F" w:rsidP="00057B7F">
            <w:pPr>
              <w:jc w:val="center"/>
              <w:rPr>
                <w:sz w:val="20"/>
                <w:szCs w:val="20"/>
              </w:rPr>
            </w:pPr>
            <w:r w:rsidRPr="000126D0">
              <w:rPr>
                <w:sz w:val="20"/>
                <w:szCs w:val="20"/>
              </w:rPr>
              <w:t>15(71.4)</w:t>
            </w:r>
          </w:p>
        </w:tc>
        <w:tc>
          <w:tcPr>
            <w:tcW w:w="1538" w:type="dxa"/>
          </w:tcPr>
          <w:p w14:paraId="4EA95B0A" w14:textId="1674FB98" w:rsidR="00057B7F" w:rsidRPr="000126D0" w:rsidRDefault="00057B7F" w:rsidP="00057B7F">
            <w:pPr>
              <w:jc w:val="center"/>
              <w:rPr>
                <w:sz w:val="20"/>
                <w:szCs w:val="20"/>
              </w:rPr>
            </w:pPr>
            <w:r w:rsidRPr="000126D0">
              <w:rPr>
                <w:sz w:val="20"/>
                <w:szCs w:val="20"/>
              </w:rPr>
              <w:t>2(40.0)</w:t>
            </w:r>
          </w:p>
        </w:tc>
        <w:tc>
          <w:tcPr>
            <w:tcW w:w="1731" w:type="dxa"/>
          </w:tcPr>
          <w:p w14:paraId="52167762" w14:textId="7FB99063" w:rsidR="00057B7F" w:rsidRPr="000126D0" w:rsidRDefault="00057B7F" w:rsidP="00057B7F">
            <w:pPr>
              <w:jc w:val="center"/>
              <w:rPr>
                <w:sz w:val="20"/>
                <w:szCs w:val="20"/>
              </w:rPr>
            </w:pPr>
            <w:r w:rsidRPr="000126D0">
              <w:rPr>
                <w:sz w:val="20"/>
                <w:szCs w:val="20"/>
              </w:rPr>
              <w:t>7(100.0)</w:t>
            </w:r>
          </w:p>
        </w:tc>
      </w:tr>
      <w:tr w:rsidR="00057B7F" w14:paraId="6F489ED9" w14:textId="77777777" w:rsidTr="00347EAA">
        <w:trPr>
          <w:trHeight w:val="306"/>
        </w:trPr>
        <w:tc>
          <w:tcPr>
            <w:tcW w:w="1718" w:type="dxa"/>
            <w:tcBorders>
              <w:bottom w:val="single" w:sz="4" w:space="0" w:color="auto"/>
            </w:tcBorders>
          </w:tcPr>
          <w:p w14:paraId="5DE79D53" w14:textId="13CEDEFA" w:rsidR="00057B7F" w:rsidRPr="000126D0" w:rsidRDefault="00057B7F" w:rsidP="00057B7F">
            <w:pPr>
              <w:rPr>
                <w:sz w:val="20"/>
                <w:szCs w:val="20"/>
              </w:rPr>
            </w:pPr>
            <w:r w:rsidRPr="000126D0">
              <w:rPr>
                <w:sz w:val="20"/>
                <w:szCs w:val="20"/>
              </w:rPr>
              <w:t>Unknown</w:t>
            </w:r>
          </w:p>
        </w:tc>
        <w:tc>
          <w:tcPr>
            <w:tcW w:w="1349" w:type="dxa"/>
            <w:tcBorders>
              <w:bottom w:val="single" w:sz="4" w:space="0" w:color="auto"/>
            </w:tcBorders>
          </w:tcPr>
          <w:p w14:paraId="198B7011" w14:textId="0F477034" w:rsidR="00057B7F" w:rsidRPr="000126D0" w:rsidRDefault="00057B7F" w:rsidP="00057B7F">
            <w:pPr>
              <w:jc w:val="center"/>
              <w:rPr>
                <w:sz w:val="20"/>
                <w:szCs w:val="20"/>
              </w:rPr>
            </w:pPr>
            <w:r w:rsidRPr="000126D0">
              <w:rPr>
                <w:sz w:val="20"/>
                <w:szCs w:val="20"/>
              </w:rPr>
              <w:t>-</w:t>
            </w:r>
          </w:p>
        </w:tc>
        <w:tc>
          <w:tcPr>
            <w:tcW w:w="1328" w:type="dxa"/>
            <w:tcBorders>
              <w:bottom w:val="single" w:sz="4" w:space="0" w:color="auto"/>
            </w:tcBorders>
          </w:tcPr>
          <w:p w14:paraId="1556F9C5" w14:textId="5F5A8DA2" w:rsidR="00057B7F" w:rsidRPr="000126D0" w:rsidRDefault="00057B7F" w:rsidP="00057B7F">
            <w:pPr>
              <w:jc w:val="center"/>
              <w:rPr>
                <w:sz w:val="20"/>
                <w:szCs w:val="20"/>
              </w:rPr>
            </w:pPr>
            <w:r w:rsidRPr="000126D0">
              <w:rPr>
                <w:sz w:val="20"/>
                <w:szCs w:val="20"/>
              </w:rPr>
              <w:t>1(1.4)</w:t>
            </w:r>
          </w:p>
        </w:tc>
        <w:tc>
          <w:tcPr>
            <w:tcW w:w="1516" w:type="dxa"/>
            <w:tcBorders>
              <w:bottom w:val="single" w:sz="4" w:space="0" w:color="auto"/>
            </w:tcBorders>
          </w:tcPr>
          <w:p w14:paraId="44B8B9E1" w14:textId="42A8303D" w:rsidR="00057B7F" w:rsidRPr="000126D0" w:rsidRDefault="00057B7F" w:rsidP="00057B7F">
            <w:pPr>
              <w:jc w:val="center"/>
              <w:rPr>
                <w:sz w:val="20"/>
                <w:szCs w:val="20"/>
              </w:rPr>
            </w:pPr>
            <w:r w:rsidRPr="000126D0">
              <w:rPr>
                <w:sz w:val="20"/>
                <w:szCs w:val="20"/>
              </w:rPr>
              <w:t>-</w:t>
            </w:r>
          </w:p>
        </w:tc>
        <w:tc>
          <w:tcPr>
            <w:tcW w:w="1538" w:type="dxa"/>
            <w:tcBorders>
              <w:bottom w:val="single" w:sz="4" w:space="0" w:color="auto"/>
            </w:tcBorders>
          </w:tcPr>
          <w:p w14:paraId="7DBFD93B" w14:textId="494F7A96" w:rsidR="00057B7F" w:rsidRPr="000126D0" w:rsidRDefault="00057B7F" w:rsidP="00057B7F">
            <w:pPr>
              <w:jc w:val="center"/>
              <w:rPr>
                <w:sz w:val="20"/>
                <w:szCs w:val="20"/>
              </w:rPr>
            </w:pPr>
            <w:r w:rsidRPr="000126D0">
              <w:rPr>
                <w:sz w:val="20"/>
                <w:szCs w:val="20"/>
              </w:rPr>
              <w:t>-</w:t>
            </w:r>
          </w:p>
        </w:tc>
        <w:tc>
          <w:tcPr>
            <w:tcW w:w="1731" w:type="dxa"/>
            <w:tcBorders>
              <w:bottom w:val="single" w:sz="4" w:space="0" w:color="auto"/>
            </w:tcBorders>
          </w:tcPr>
          <w:p w14:paraId="43FDAD3C" w14:textId="091EB1F3" w:rsidR="00057B7F" w:rsidRPr="000126D0" w:rsidRDefault="00057B7F" w:rsidP="00057B7F">
            <w:pPr>
              <w:jc w:val="center"/>
              <w:rPr>
                <w:sz w:val="20"/>
                <w:szCs w:val="20"/>
              </w:rPr>
            </w:pPr>
            <w:r w:rsidRPr="000126D0">
              <w:rPr>
                <w:sz w:val="20"/>
                <w:szCs w:val="20"/>
              </w:rPr>
              <w:t>-</w:t>
            </w:r>
          </w:p>
        </w:tc>
      </w:tr>
    </w:tbl>
    <w:p w14:paraId="13E9B0D7" w14:textId="11ACCF52" w:rsidR="003B7F52" w:rsidRDefault="003B7F52">
      <w:pPr>
        <w:rPr>
          <w:b/>
          <w:bCs/>
        </w:rPr>
      </w:pPr>
    </w:p>
    <w:p w14:paraId="2D9A3E21" w14:textId="4E40E3A8" w:rsidR="005E4E64" w:rsidRPr="00C01251" w:rsidRDefault="005E4E64">
      <w:r>
        <w:t>Crude mortality rates were calculated per 100,000 people</w:t>
      </w:r>
      <w:r w:rsidR="00C01251">
        <w:t xml:space="preserve">, and shown in </w:t>
      </w:r>
      <w:r w:rsidR="00C01251">
        <w:rPr>
          <w:b/>
          <w:bCs/>
        </w:rPr>
        <w:t>Table 2</w:t>
      </w:r>
      <w:r w:rsidR="00C01251">
        <w:t xml:space="preserve">, </w:t>
      </w:r>
    </w:p>
    <w:p w14:paraId="405DB1F4" w14:textId="433FE9E6" w:rsidR="00FA354D" w:rsidRDefault="00A7201F">
      <w:pPr>
        <w:rPr>
          <w:i/>
          <w:iCs/>
        </w:rPr>
      </w:pPr>
      <w:r>
        <w:rPr>
          <w:i/>
          <w:iCs/>
        </w:rPr>
        <w:t xml:space="preserve">Patterns of Income Inequality </w:t>
      </w:r>
      <w:r w:rsidR="00311DAE">
        <w:rPr>
          <w:i/>
          <w:iCs/>
        </w:rPr>
        <w:t>and Health Equity</w:t>
      </w:r>
    </w:p>
    <w:p w14:paraId="0B9C47E4" w14:textId="3EC8FB0C" w:rsidR="002B253C" w:rsidRPr="002B253C" w:rsidRDefault="002B253C" w:rsidP="00201D8C">
      <w:pPr>
        <w:ind w:firstLine="720"/>
      </w:pPr>
      <w:r w:rsidRPr="00C54F17">
        <w:rPr>
          <w:b/>
          <w:bCs/>
        </w:rPr>
        <w:t xml:space="preserve">Figure </w:t>
      </w:r>
      <w:r>
        <w:rPr>
          <w:b/>
          <w:bCs/>
        </w:rPr>
        <w:t xml:space="preserve">1. </w:t>
      </w:r>
      <w:r>
        <w:t>shows the equity status over time within these years (2014, 2016, 2019, and 2021). Among these maps of El Dorado County, the dark blue can be seen decreasing as equity seems to be increasing among the geographic regions. However, there are still many communities that are experiencing greater needs especially those in the South Lake Tahoe area as well as the more rural areas of the county both North and South. This is commonly used to measure income inequality, where the coefficient is between 0 and 1, however for the purposes of this study, the range is between 1 and 5, where 1 means complete equality and 5 means complete inequality. The income equality status used zip code information in El Dorado County as a comparison and matched those values using the Gini coefficient formula. This information denotes where children likely fell within the range regarding income equality.</w:t>
      </w:r>
    </w:p>
    <w:p w14:paraId="1E49F2A7" w14:textId="00E72218" w:rsidR="00FD658A" w:rsidRDefault="007B011E">
      <w:r>
        <w:t xml:space="preserve"> </w:t>
      </w:r>
    </w:p>
    <w:p w14:paraId="190E5FA5" w14:textId="1DE3D2A9" w:rsidR="00FD28EC" w:rsidRPr="00F00A0F" w:rsidRDefault="00F00A0F">
      <w:pPr>
        <w:rPr>
          <w:i/>
          <w:iCs/>
        </w:rPr>
      </w:pPr>
      <w:r>
        <w:rPr>
          <w:i/>
          <w:iCs/>
        </w:rPr>
        <w:t>Trends</w:t>
      </w:r>
    </w:p>
    <w:p w14:paraId="4B147692" w14:textId="51F35905" w:rsidR="001D03D2" w:rsidRDefault="00287522">
      <w:r>
        <w:rPr>
          <w:noProof/>
        </w:rPr>
        <w:drawing>
          <wp:inline distT="0" distB="0" distL="0" distR="0" wp14:anchorId="7FAB03DB" wp14:editId="7E480331">
            <wp:extent cx="6070600" cy="3051544"/>
            <wp:effectExtent l="0" t="0" r="6350" b="15875"/>
            <wp:docPr id="1" name="Chart 1">
              <a:extLst xmlns:a="http://schemas.openxmlformats.org/drawingml/2006/main">
                <a:ext uri="{FF2B5EF4-FFF2-40B4-BE49-F238E27FC236}">
                  <a16:creationId xmlns:a16="http://schemas.microsoft.com/office/drawing/2014/main" id="{24D8DABB-E081-ED78-4D2F-2FA1364DF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679FBD" w14:textId="770893DE" w:rsidR="003F5866" w:rsidRPr="00B21136" w:rsidRDefault="007F5710" w:rsidP="000D1928">
      <w:pPr>
        <w:ind w:firstLine="720"/>
      </w:pPr>
      <w:r w:rsidRPr="000D1928">
        <w:rPr>
          <w:b/>
          <w:bCs/>
        </w:rPr>
        <w:lastRenderedPageBreak/>
        <w:t>Figure 2.</w:t>
      </w:r>
      <w:r w:rsidR="00BC152D">
        <w:t xml:space="preserve"> shows </w:t>
      </w:r>
      <w:r w:rsidR="000D4192">
        <w:t>the</w:t>
      </w:r>
      <w:r w:rsidR="00355410">
        <w:t xml:space="preserve"> rates of</w:t>
      </w:r>
      <w:r w:rsidR="00D56CE7">
        <w:t xml:space="preserve"> the</w:t>
      </w:r>
      <w:r w:rsidR="000D4192">
        <w:t xml:space="preserve"> manners of death</w:t>
      </w:r>
      <w:r w:rsidR="00BC152D">
        <w:t xml:space="preserve"> among El Dorado County residents 0 to 19 years of age by year (2012-2021)</w:t>
      </w:r>
      <w:r w:rsidR="000D4192">
        <w:t xml:space="preserve">. </w:t>
      </w:r>
      <w:r w:rsidR="00104721">
        <w:t>Overtime,</w:t>
      </w:r>
      <w:r w:rsidR="00827381">
        <w:t xml:space="preserve"> fluctuations occurred among all manners of death</w:t>
      </w:r>
      <w:r w:rsidR="00D37A5F">
        <w:t xml:space="preserve">, as well as total deaths overall. </w:t>
      </w:r>
      <w:r w:rsidR="004B1375">
        <w:t xml:space="preserve">Natural </w:t>
      </w:r>
      <w:r w:rsidR="0071189A">
        <w:t>deaths</w:t>
      </w:r>
      <w:r w:rsidR="004B1375">
        <w:t xml:space="preserve"> persistently had </w:t>
      </w:r>
      <w:r w:rsidR="0071189A">
        <w:t xml:space="preserve">the highest or higher rates compared to the other manners of death in El Dorado County. </w:t>
      </w:r>
      <w:r w:rsidR="00DF0086">
        <w:t xml:space="preserve">In 2020 there </w:t>
      </w:r>
      <w:r w:rsidR="00AD0CD4">
        <w:t>was a peak of 22 deaths over the 10-year review; these deaths</w:t>
      </w:r>
      <w:r w:rsidR="00AF1B65">
        <w:t xml:space="preserve"> in 2020 as well as 2021</w:t>
      </w:r>
      <w:r w:rsidR="00AD0CD4">
        <w:t xml:space="preserve"> </w:t>
      </w:r>
      <w:r w:rsidR="00AF1B65">
        <w:t>are not related to COVID-19</w:t>
      </w:r>
      <w:r w:rsidR="00F25FB4">
        <w:t xml:space="preserve"> pandemic. </w:t>
      </w:r>
      <w:r w:rsidR="00F73268">
        <w:t>Of this manner of deaths, 73 were due to natural causes (44.5%), 55 were due to accidents (33.5), 21 were suicides (12.8%), 5 were homicides (3%), and 7 could not be determined (4.3%). Not included were pending deaths (3 total).</w:t>
      </w:r>
      <w:r w:rsidR="000C5A85">
        <w:t xml:space="preserve"> </w:t>
      </w:r>
      <w:r w:rsidR="00973487">
        <w:t>Males were involved in approximately 57% of natural deaths</w:t>
      </w:r>
      <w:r w:rsidR="004D708C">
        <w:t xml:space="preserve"> during this study </w:t>
      </w:r>
      <w:r w:rsidR="00C87293">
        <w:t>period and</w:t>
      </w:r>
      <w:r w:rsidR="004D708C">
        <w:t xml:space="preserve"> are at higher rates </w:t>
      </w:r>
      <w:r w:rsidR="007A1BE0">
        <w:t xml:space="preserve">among other manners of death overall. The </w:t>
      </w:r>
    </w:p>
    <w:p w14:paraId="7F3E2362" w14:textId="311DE747" w:rsidR="00E62259" w:rsidRDefault="00E62259">
      <w:pPr>
        <w:rPr>
          <w:b/>
          <w:bCs/>
        </w:rPr>
      </w:pPr>
      <w:r>
        <w:rPr>
          <w:b/>
          <w:bCs/>
        </w:rPr>
        <w:t>Limitations</w:t>
      </w:r>
    </w:p>
    <w:p w14:paraId="633E652F" w14:textId="531230F6" w:rsidR="00E62259" w:rsidRPr="00E62259" w:rsidRDefault="00E62259">
      <w:r>
        <w:t xml:space="preserve">El Dorado County is a relatively small county compared to </w:t>
      </w:r>
      <w:r w:rsidR="003E511B">
        <w:t xml:space="preserve">other counties in California, and thus there is smaller data sets to work </w:t>
      </w:r>
      <w:r w:rsidR="00EB7C3B">
        <w:t>with and</w:t>
      </w:r>
      <w:r w:rsidR="003E511B">
        <w:t xml:space="preserve"> can be seen in this study.</w:t>
      </w:r>
      <w:r w:rsidR="000716CD">
        <w:t xml:space="preserve"> The Health Equity index only goes back to 2014</w:t>
      </w:r>
    </w:p>
    <w:p w14:paraId="55E8276E" w14:textId="669F1038" w:rsidR="00A66C42" w:rsidRDefault="00A66C42">
      <w:pPr>
        <w:rPr>
          <w:b/>
          <w:bCs/>
        </w:rPr>
      </w:pPr>
      <w:r>
        <w:rPr>
          <w:b/>
          <w:bCs/>
        </w:rPr>
        <w:t>Conclusion</w:t>
      </w:r>
    </w:p>
    <w:p w14:paraId="2679CCE0" w14:textId="519E36E8" w:rsidR="00487BF0" w:rsidRDefault="00487BF0">
      <w:r>
        <w:t xml:space="preserve">It is the hope that </w:t>
      </w:r>
      <w:r w:rsidR="00C6354A">
        <w:t>El Dorado County’s M</w:t>
      </w:r>
      <w:r>
        <w:t xml:space="preserve">DRT can use the information they obtain regarding child deaths </w:t>
      </w:r>
      <w:r w:rsidR="00C6354A">
        <w:t xml:space="preserve">over this 10 year </w:t>
      </w:r>
      <w:proofErr w:type="gramStart"/>
      <w:r w:rsidR="00C6354A">
        <w:t xml:space="preserve">span, </w:t>
      </w:r>
      <w:r>
        <w:t>and</w:t>
      </w:r>
      <w:proofErr w:type="gramEnd"/>
      <w:r>
        <w:t xml:space="preserve"> us</w:t>
      </w:r>
      <w:r w:rsidR="00C6354A">
        <w:t>e</w:t>
      </w:r>
      <w:r>
        <w:t xml:space="preserve"> the knowledge </w:t>
      </w:r>
      <w:r w:rsidR="002B253C">
        <w:t>regarding the</w:t>
      </w:r>
      <w:r>
        <w:t xml:space="preserve"> </w:t>
      </w:r>
      <w:r w:rsidR="00EB7C3B">
        <w:t>community’s</w:t>
      </w:r>
      <w:r>
        <w:t xml:space="preserve"> equity to </w:t>
      </w:r>
      <w:r w:rsidR="00463E32">
        <w:t xml:space="preserve">really address child deaths with an impact. </w:t>
      </w:r>
    </w:p>
    <w:p w14:paraId="164632B4" w14:textId="079880CA" w:rsidR="00423BC3" w:rsidRDefault="00423BC3"/>
    <w:p w14:paraId="0CE90A75" w14:textId="77777777" w:rsidR="00D642DD" w:rsidRDefault="00D642DD" w:rsidP="00D642DD">
      <w:pPr>
        <w:jc w:val="center"/>
        <w:rPr>
          <w:b/>
          <w:bCs/>
        </w:rPr>
      </w:pPr>
    </w:p>
    <w:p w14:paraId="1A36163C" w14:textId="77777777" w:rsidR="00D642DD" w:rsidRDefault="00D642DD">
      <w:pPr>
        <w:rPr>
          <w:b/>
          <w:bCs/>
        </w:rPr>
      </w:pPr>
      <w:r>
        <w:rPr>
          <w:b/>
          <w:bCs/>
        </w:rPr>
        <w:br w:type="page"/>
      </w:r>
    </w:p>
    <w:p w14:paraId="00918740" w14:textId="2F8FA7FE" w:rsidR="00423BC3" w:rsidRPr="00D642DD" w:rsidRDefault="00423BC3" w:rsidP="00D642DD">
      <w:pPr>
        <w:jc w:val="center"/>
        <w:rPr>
          <w:b/>
          <w:bCs/>
        </w:rPr>
      </w:pPr>
      <w:r w:rsidRPr="00D642DD">
        <w:rPr>
          <w:b/>
          <w:bCs/>
        </w:rPr>
        <w:lastRenderedPageBreak/>
        <w:t>Appendix</w:t>
      </w:r>
    </w:p>
    <w:tbl>
      <w:tblPr>
        <w:tblStyle w:val="TableGrid"/>
        <w:tblW w:w="0" w:type="auto"/>
        <w:tblLook w:val="04A0" w:firstRow="1" w:lastRow="0" w:firstColumn="1" w:lastColumn="0" w:noHBand="0" w:noVBand="1"/>
      </w:tblPr>
      <w:tblGrid>
        <w:gridCol w:w="2875"/>
        <w:gridCol w:w="6475"/>
      </w:tblGrid>
      <w:tr w:rsidR="001C1168" w14:paraId="18E30E67" w14:textId="77777777" w:rsidTr="008D2630">
        <w:tc>
          <w:tcPr>
            <w:tcW w:w="9350" w:type="dxa"/>
            <w:gridSpan w:val="2"/>
          </w:tcPr>
          <w:p w14:paraId="2470DD35" w14:textId="0A119A7E" w:rsidR="001C1168" w:rsidRPr="000A5C1B" w:rsidRDefault="001C1168" w:rsidP="00361037">
            <w:pPr>
              <w:jc w:val="center"/>
              <w:rPr>
                <w:b/>
                <w:bCs/>
              </w:rPr>
            </w:pPr>
            <w:r w:rsidRPr="000A5C1B">
              <w:rPr>
                <w:b/>
                <w:bCs/>
              </w:rPr>
              <w:t>Appendix A</w:t>
            </w:r>
            <w:r w:rsidR="00361037" w:rsidRPr="000A5C1B">
              <w:rPr>
                <w:b/>
                <w:bCs/>
              </w:rPr>
              <w:t>: Manner of Death Definitions</w:t>
            </w:r>
          </w:p>
        </w:tc>
      </w:tr>
      <w:tr w:rsidR="001C1168" w14:paraId="6F6F90A8" w14:textId="77777777" w:rsidTr="00DA0B67">
        <w:tc>
          <w:tcPr>
            <w:tcW w:w="2875" w:type="dxa"/>
          </w:tcPr>
          <w:p w14:paraId="59AC3838" w14:textId="3AACAA75" w:rsidR="001C1168" w:rsidRDefault="001C1168">
            <w:r>
              <w:t>Indicator</w:t>
            </w:r>
          </w:p>
        </w:tc>
        <w:tc>
          <w:tcPr>
            <w:tcW w:w="6475" w:type="dxa"/>
          </w:tcPr>
          <w:p w14:paraId="3EF59C07" w14:textId="30D6EA90" w:rsidR="001C1168" w:rsidRDefault="001C1168">
            <w:r>
              <w:t>Definition</w:t>
            </w:r>
          </w:p>
        </w:tc>
      </w:tr>
      <w:tr w:rsidR="001C1168" w14:paraId="20A552B9" w14:textId="77777777" w:rsidTr="00DA0B67">
        <w:tc>
          <w:tcPr>
            <w:tcW w:w="2875" w:type="dxa"/>
          </w:tcPr>
          <w:p w14:paraId="260D6E40" w14:textId="04160C11" w:rsidR="001C1168" w:rsidRDefault="00DA0B67">
            <w:r>
              <w:t>Manner of Death</w:t>
            </w:r>
          </w:p>
        </w:tc>
        <w:tc>
          <w:tcPr>
            <w:tcW w:w="6475" w:type="dxa"/>
          </w:tcPr>
          <w:p w14:paraId="6C4B5268" w14:textId="10634976" w:rsidR="001C1168" w:rsidRDefault="00DA0B67">
            <w:r>
              <w:t>Classification system developed for public health statistics based on the circumstances under which a death occurred (how the person died)</w:t>
            </w:r>
          </w:p>
        </w:tc>
      </w:tr>
      <w:tr w:rsidR="001C1168" w14:paraId="2DE25B6B" w14:textId="77777777" w:rsidTr="00DA0B67">
        <w:tc>
          <w:tcPr>
            <w:tcW w:w="2875" w:type="dxa"/>
          </w:tcPr>
          <w:p w14:paraId="01634F43" w14:textId="6F2E5D29" w:rsidR="001C1168" w:rsidRDefault="00DA0B67">
            <w:r>
              <w:t>Accident</w:t>
            </w:r>
          </w:p>
        </w:tc>
        <w:tc>
          <w:tcPr>
            <w:tcW w:w="6475" w:type="dxa"/>
          </w:tcPr>
          <w:p w14:paraId="59E47ED3" w14:textId="408A5128" w:rsidR="001C1168" w:rsidRDefault="00DA0B67">
            <w:r>
              <w:t>An une</w:t>
            </w:r>
            <w:r w:rsidR="00350748">
              <w:t>x</w:t>
            </w:r>
            <w:r>
              <w:t>pected of unforeseen death due to injury</w:t>
            </w:r>
          </w:p>
        </w:tc>
      </w:tr>
      <w:tr w:rsidR="001C1168" w14:paraId="476B1B9A" w14:textId="77777777" w:rsidTr="00DA0B67">
        <w:tc>
          <w:tcPr>
            <w:tcW w:w="2875" w:type="dxa"/>
          </w:tcPr>
          <w:p w14:paraId="5FD9D2FD" w14:textId="157B5A77" w:rsidR="001C1168" w:rsidRDefault="00350748">
            <w:r>
              <w:t>Homicide</w:t>
            </w:r>
          </w:p>
        </w:tc>
        <w:tc>
          <w:tcPr>
            <w:tcW w:w="6475" w:type="dxa"/>
          </w:tcPr>
          <w:p w14:paraId="428019D0" w14:textId="23C5FB9C" w:rsidR="001C1168" w:rsidRDefault="00350748">
            <w:r>
              <w:t>Death as a result of a volitional act committed by another person</w:t>
            </w:r>
            <w:r w:rsidR="00471DD1">
              <w:t xml:space="preserve"> (e.g. injury, poisoning)</w:t>
            </w:r>
          </w:p>
        </w:tc>
      </w:tr>
      <w:tr w:rsidR="001C1168" w14:paraId="338F3AEF" w14:textId="77777777" w:rsidTr="00DA0B67">
        <w:tc>
          <w:tcPr>
            <w:tcW w:w="2875" w:type="dxa"/>
          </w:tcPr>
          <w:p w14:paraId="730EB105" w14:textId="5936EA2B" w:rsidR="001C1168" w:rsidRDefault="00471DD1">
            <w:r>
              <w:t>Natural</w:t>
            </w:r>
          </w:p>
        </w:tc>
        <w:tc>
          <w:tcPr>
            <w:tcW w:w="6475" w:type="dxa"/>
          </w:tcPr>
          <w:p w14:paraId="15A9F100" w14:textId="1E923564" w:rsidR="001C1168" w:rsidRDefault="00471DD1">
            <w:r>
              <w:t>Death due solely to natural disease</w:t>
            </w:r>
          </w:p>
        </w:tc>
      </w:tr>
      <w:tr w:rsidR="001C1168" w14:paraId="2AD79EFB" w14:textId="77777777" w:rsidTr="00DA0B67">
        <w:tc>
          <w:tcPr>
            <w:tcW w:w="2875" w:type="dxa"/>
          </w:tcPr>
          <w:p w14:paraId="18D4A391" w14:textId="240835C9" w:rsidR="001C1168" w:rsidRDefault="00802ED0">
            <w:r>
              <w:t>Suicide</w:t>
            </w:r>
          </w:p>
        </w:tc>
        <w:tc>
          <w:tcPr>
            <w:tcW w:w="6475" w:type="dxa"/>
          </w:tcPr>
          <w:p w14:paraId="3093A2C1" w14:textId="02E6C2A5" w:rsidR="001C1168" w:rsidRDefault="00802ED0">
            <w:r>
              <w:t>Death resulting from intentional self-inflicted act</w:t>
            </w:r>
          </w:p>
        </w:tc>
      </w:tr>
      <w:tr w:rsidR="001C1168" w14:paraId="3C95E8BB" w14:textId="77777777" w:rsidTr="00DA0B67">
        <w:tc>
          <w:tcPr>
            <w:tcW w:w="2875" w:type="dxa"/>
          </w:tcPr>
          <w:p w14:paraId="2CFAC6FF" w14:textId="768E52E7" w:rsidR="001C1168" w:rsidRDefault="00802ED0">
            <w:r>
              <w:t>Undetermined</w:t>
            </w:r>
          </w:p>
        </w:tc>
        <w:tc>
          <w:tcPr>
            <w:tcW w:w="6475" w:type="dxa"/>
          </w:tcPr>
          <w:p w14:paraId="2BB0E6E0" w14:textId="112B1D5D" w:rsidR="001C1168" w:rsidRDefault="00802ED0">
            <w:r>
              <w:t>Manner of death used when the information pointing to one manner of death is no more compelling than another</w:t>
            </w:r>
          </w:p>
        </w:tc>
      </w:tr>
    </w:tbl>
    <w:p w14:paraId="7234BBF0" w14:textId="6A05D6E4" w:rsidR="00C538E2" w:rsidRDefault="00C538E2"/>
    <w:p w14:paraId="7D11E847" w14:textId="6ECE9C43" w:rsidR="00BC3E0C" w:rsidRPr="00BC3E0C" w:rsidRDefault="00BC3E0C">
      <w:pPr>
        <w:rPr>
          <w:b/>
          <w:bCs/>
          <w:sz w:val="20"/>
          <w:szCs w:val="20"/>
        </w:rPr>
      </w:pPr>
      <w:r w:rsidRPr="002B253C">
        <w:rPr>
          <w:b/>
          <w:bCs/>
          <w:sz w:val="20"/>
          <w:szCs w:val="20"/>
        </w:rPr>
        <w:t>Figure 1. Equity Status of El Dorado County Maps from years 2014, 2016, 2019, and 2021.</w:t>
      </w:r>
    </w:p>
    <w:tbl>
      <w:tblPr>
        <w:tblStyle w:val="TableGrid"/>
        <w:tblW w:w="8110" w:type="dxa"/>
        <w:tblLook w:val="04A0" w:firstRow="1" w:lastRow="0" w:firstColumn="1" w:lastColumn="0" w:noHBand="0" w:noVBand="1"/>
      </w:tblPr>
      <w:tblGrid>
        <w:gridCol w:w="3933"/>
        <w:gridCol w:w="4177"/>
      </w:tblGrid>
      <w:tr w:rsidR="00BC3E0C" w14:paraId="17E6D643" w14:textId="77777777" w:rsidTr="00AC3C29">
        <w:trPr>
          <w:trHeight w:val="2591"/>
        </w:trPr>
        <w:tc>
          <w:tcPr>
            <w:tcW w:w="3933" w:type="dxa"/>
          </w:tcPr>
          <w:p w14:paraId="4E2751B0" w14:textId="77777777" w:rsidR="00BC3E0C" w:rsidRDefault="00BC3E0C" w:rsidP="00AC3C29">
            <w:r>
              <w:rPr>
                <w:noProof/>
              </w:rPr>
              <w:drawing>
                <wp:anchor distT="0" distB="0" distL="114300" distR="114300" simplePos="0" relativeHeight="251659264" behindDoc="1" locked="0" layoutInCell="1" allowOverlap="1" wp14:anchorId="78A7B366" wp14:editId="549A5B45">
                  <wp:simplePos x="0" y="0"/>
                  <wp:positionH relativeFrom="column">
                    <wp:posOffset>328295</wp:posOffset>
                  </wp:positionH>
                  <wp:positionV relativeFrom="paragraph">
                    <wp:posOffset>174625</wp:posOffset>
                  </wp:positionV>
                  <wp:extent cx="1762125" cy="1310640"/>
                  <wp:effectExtent l="0" t="0" r="9525" b="3810"/>
                  <wp:wrapTight wrapText="bothSides">
                    <wp:wrapPolygon edited="0">
                      <wp:start x="0" y="0"/>
                      <wp:lineTo x="0" y="21349"/>
                      <wp:lineTo x="21483" y="21349"/>
                      <wp:lineTo x="21483"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310640"/>
                          </a:xfrm>
                          <a:prstGeom prst="rect">
                            <a:avLst/>
                          </a:prstGeom>
                        </pic:spPr>
                      </pic:pic>
                    </a:graphicData>
                  </a:graphic>
                  <wp14:sizeRelH relativeFrom="margin">
                    <wp14:pctWidth>0</wp14:pctWidth>
                  </wp14:sizeRelH>
                  <wp14:sizeRelV relativeFrom="margin">
                    <wp14:pctHeight>0</wp14:pctHeight>
                  </wp14:sizeRelV>
                </wp:anchor>
              </w:drawing>
            </w:r>
          </w:p>
          <w:p w14:paraId="5575A98D" w14:textId="77777777" w:rsidR="00BC3E0C" w:rsidRDefault="00BC3E0C" w:rsidP="00AC3C29">
            <w:r>
              <w:t>2014</w:t>
            </w:r>
          </w:p>
        </w:tc>
        <w:tc>
          <w:tcPr>
            <w:tcW w:w="4176" w:type="dxa"/>
          </w:tcPr>
          <w:p w14:paraId="1DF658A5" w14:textId="77777777" w:rsidR="00BC3E0C" w:rsidRDefault="00BC3E0C" w:rsidP="00AC3C29"/>
          <w:p w14:paraId="0EB3844A" w14:textId="77777777" w:rsidR="00BC3E0C" w:rsidRDefault="00BC3E0C" w:rsidP="00AC3C29">
            <w:r>
              <w:rPr>
                <w:noProof/>
              </w:rPr>
              <w:drawing>
                <wp:anchor distT="0" distB="0" distL="114300" distR="114300" simplePos="0" relativeHeight="251660288" behindDoc="1" locked="0" layoutInCell="1" allowOverlap="1" wp14:anchorId="40AC52CA" wp14:editId="2DF0D85D">
                  <wp:simplePos x="0" y="0"/>
                  <wp:positionH relativeFrom="column">
                    <wp:posOffset>372110</wp:posOffset>
                  </wp:positionH>
                  <wp:positionV relativeFrom="paragraph">
                    <wp:posOffset>22860</wp:posOffset>
                  </wp:positionV>
                  <wp:extent cx="1771650" cy="1229360"/>
                  <wp:effectExtent l="0" t="0" r="0" b="8890"/>
                  <wp:wrapTight wrapText="bothSides">
                    <wp:wrapPolygon edited="0">
                      <wp:start x="0" y="0"/>
                      <wp:lineTo x="0" y="21421"/>
                      <wp:lineTo x="21368" y="21421"/>
                      <wp:lineTo x="21368" y="0"/>
                      <wp:lineTo x="0" y="0"/>
                    </wp:wrapPolygon>
                  </wp:wrapTight>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229360"/>
                          </a:xfrm>
                          <a:prstGeom prst="rect">
                            <a:avLst/>
                          </a:prstGeom>
                        </pic:spPr>
                      </pic:pic>
                    </a:graphicData>
                  </a:graphic>
                  <wp14:sizeRelH relativeFrom="margin">
                    <wp14:pctWidth>0</wp14:pctWidth>
                  </wp14:sizeRelH>
                  <wp14:sizeRelV relativeFrom="margin">
                    <wp14:pctHeight>0</wp14:pctHeight>
                  </wp14:sizeRelV>
                </wp:anchor>
              </w:drawing>
            </w:r>
            <w:r>
              <w:t>2016</w:t>
            </w:r>
          </w:p>
        </w:tc>
      </w:tr>
      <w:tr w:rsidR="00BC3E0C" w14:paraId="56391A84" w14:textId="77777777" w:rsidTr="00AC3C29">
        <w:trPr>
          <w:trHeight w:val="2484"/>
        </w:trPr>
        <w:tc>
          <w:tcPr>
            <w:tcW w:w="3933" w:type="dxa"/>
          </w:tcPr>
          <w:p w14:paraId="0DB697D8" w14:textId="77777777" w:rsidR="00BC3E0C" w:rsidRDefault="00BC3E0C" w:rsidP="00AC3C29">
            <w:r>
              <w:rPr>
                <w:noProof/>
              </w:rPr>
              <w:drawing>
                <wp:anchor distT="0" distB="0" distL="114300" distR="114300" simplePos="0" relativeHeight="251661312" behindDoc="1" locked="0" layoutInCell="1" allowOverlap="1" wp14:anchorId="0BA93E7B" wp14:editId="76CEAE3A">
                  <wp:simplePos x="0" y="0"/>
                  <wp:positionH relativeFrom="column">
                    <wp:posOffset>385445</wp:posOffset>
                  </wp:positionH>
                  <wp:positionV relativeFrom="paragraph">
                    <wp:posOffset>158115</wp:posOffset>
                  </wp:positionV>
                  <wp:extent cx="1781175" cy="1270635"/>
                  <wp:effectExtent l="0" t="0" r="9525" b="5715"/>
                  <wp:wrapTight wrapText="bothSides">
                    <wp:wrapPolygon edited="0">
                      <wp:start x="0" y="0"/>
                      <wp:lineTo x="0" y="21373"/>
                      <wp:lineTo x="21484" y="21373"/>
                      <wp:lineTo x="21484" y="0"/>
                      <wp:lineTo x="0" y="0"/>
                    </wp:wrapPolygon>
                  </wp:wrapTight>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175" cy="1270635"/>
                          </a:xfrm>
                          <a:prstGeom prst="rect">
                            <a:avLst/>
                          </a:prstGeom>
                        </pic:spPr>
                      </pic:pic>
                    </a:graphicData>
                  </a:graphic>
                  <wp14:sizeRelH relativeFrom="page">
                    <wp14:pctWidth>0</wp14:pctWidth>
                  </wp14:sizeRelH>
                  <wp14:sizeRelV relativeFrom="page">
                    <wp14:pctHeight>0</wp14:pctHeight>
                  </wp14:sizeRelV>
                </wp:anchor>
              </w:drawing>
            </w:r>
            <w:r>
              <w:t>2019</w:t>
            </w:r>
          </w:p>
        </w:tc>
        <w:tc>
          <w:tcPr>
            <w:tcW w:w="4176" w:type="dxa"/>
          </w:tcPr>
          <w:p w14:paraId="30EBE23B" w14:textId="77777777" w:rsidR="00BC3E0C" w:rsidRDefault="00BC3E0C" w:rsidP="00AC3C29">
            <w:r>
              <w:rPr>
                <w:noProof/>
              </w:rPr>
              <w:drawing>
                <wp:anchor distT="0" distB="0" distL="114300" distR="114300" simplePos="0" relativeHeight="251662336" behindDoc="1" locked="0" layoutInCell="1" allowOverlap="1" wp14:anchorId="71FED417" wp14:editId="465235F6">
                  <wp:simplePos x="0" y="0"/>
                  <wp:positionH relativeFrom="column">
                    <wp:posOffset>342900</wp:posOffset>
                  </wp:positionH>
                  <wp:positionV relativeFrom="paragraph">
                    <wp:posOffset>143510</wp:posOffset>
                  </wp:positionV>
                  <wp:extent cx="1819910" cy="1190625"/>
                  <wp:effectExtent l="0" t="0" r="8890" b="9525"/>
                  <wp:wrapTight wrapText="bothSides">
                    <wp:wrapPolygon edited="0">
                      <wp:start x="0" y="0"/>
                      <wp:lineTo x="0" y="21427"/>
                      <wp:lineTo x="21479" y="21427"/>
                      <wp:lineTo x="214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b="6383"/>
                          <a:stretch/>
                        </pic:blipFill>
                        <pic:spPr bwMode="auto">
                          <a:xfrm>
                            <a:off x="0" y="0"/>
                            <a:ext cx="1819910"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52C414" w14:textId="77777777" w:rsidR="00BC3E0C" w:rsidRDefault="00BC3E0C" w:rsidP="00AC3C29">
            <w:r>
              <w:t>2021</w:t>
            </w:r>
          </w:p>
        </w:tc>
      </w:tr>
      <w:tr w:rsidR="00BC3E0C" w14:paraId="10ADD081" w14:textId="77777777" w:rsidTr="00AC3C29">
        <w:trPr>
          <w:trHeight w:val="594"/>
        </w:trPr>
        <w:tc>
          <w:tcPr>
            <w:tcW w:w="8110" w:type="dxa"/>
            <w:gridSpan w:val="2"/>
          </w:tcPr>
          <w:p w14:paraId="67BB1F54" w14:textId="77777777" w:rsidR="00BC3E0C" w:rsidRDefault="00BC3E0C" w:rsidP="00AC3C29">
            <w:pPr>
              <w:rPr>
                <w:noProof/>
              </w:rPr>
            </w:pPr>
            <w:r>
              <w:rPr>
                <w:noProof/>
              </w:rPr>
              <w:drawing>
                <wp:anchor distT="0" distB="0" distL="114300" distR="114300" simplePos="0" relativeHeight="251663360" behindDoc="1" locked="0" layoutInCell="1" allowOverlap="1" wp14:anchorId="2C89CCC6" wp14:editId="3D8185D2">
                  <wp:simplePos x="0" y="0"/>
                  <wp:positionH relativeFrom="column">
                    <wp:posOffset>1785620</wp:posOffset>
                  </wp:positionH>
                  <wp:positionV relativeFrom="paragraph">
                    <wp:posOffset>1270</wp:posOffset>
                  </wp:positionV>
                  <wp:extent cx="1714500" cy="963930"/>
                  <wp:effectExtent l="0" t="0" r="0" b="7620"/>
                  <wp:wrapTight wrapText="bothSides">
                    <wp:wrapPolygon edited="0">
                      <wp:start x="0" y="0"/>
                      <wp:lineTo x="0" y="21344"/>
                      <wp:lineTo x="21360" y="21344"/>
                      <wp:lineTo x="21360" y="0"/>
                      <wp:lineTo x="0" y="0"/>
                    </wp:wrapPolygon>
                  </wp:wrapTight>
                  <wp:docPr id="7" name="Picture 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714500" cy="963930"/>
                          </a:xfrm>
                          <a:prstGeom prst="rect">
                            <a:avLst/>
                          </a:prstGeom>
                        </pic:spPr>
                      </pic:pic>
                    </a:graphicData>
                  </a:graphic>
                  <wp14:sizeRelH relativeFrom="margin">
                    <wp14:pctWidth>0</wp14:pctWidth>
                  </wp14:sizeRelH>
                  <wp14:sizeRelV relativeFrom="margin">
                    <wp14:pctHeight>0</wp14:pctHeight>
                  </wp14:sizeRelV>
                </wp:anchor>
              </w:drawing>
            </w:r>
          </w:p>
        </w:tc>
      </w:tr>
      <w:tr w:rsidR="00BC3E0C" w14:paraId="548475CA" w14:textId="77777777" w:rsidTr="00AC3C29">
        <w:trPr>
          <w:trHeight w:val="845"/>
        </w:trPr>
        <w:tc>
          <w:tcPr>
            <w:tcW w:w="8110" w:type="dxa"/>
            <w:gridSpan w:val="2"/>
          </w:tcPr>
          <w:p w14:paraId="7724A96B" w14:textId="77777777" w:rsidR="00BC3E0C" w:rsidRDefault="00BC3E0C" w:rsidP="00AC3C29">
            <w:pPr>
              <w:rPr>
                <w:noProof/>
              </w:rPr>
            </w:pPr>
            <w:r w:rsidRPr="000126D0">
              <w:rPr>
                <w:noProof/>
                <w:sz w:val="20"/>
                <w:szCs w:val="20"/>
              </w:rPr>
              <w:t>Seen in this equity map of El Dorado County, the darker the blue, the greater the need within that geographic area. This equity map utilizes zip codes to differentiate the needs among regions. (welldorado.org)</w:t>
            </w:r>
          </w:p>
        </w:tc>
      </w:tr>
    </w:tbl>
    <w:p w14:paraId="5CC675F0" w14:textId="39F1282C" w:rsidR="00C538E2" w:rsidRPr="00487BF0" w:rsidRDefault="00C538E2"/>
    <w:sectPr w:rsidR="00C538E2" w:rsidRPr="00487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B67A" w14:textId="77777777" w:rsidR="00B2189D" w:rsidRDefault="00B2189D" w:rsidP="0087657C">
      <w:pPr>
        <w:spacing w:after="0" w:line="240" w:lineRule="auto"/>
      </w:pPr>
      <w:r>
        <w:separator/>
      </w:r>
    </w:p>
  </w:endnote>
  <w:endnote w:type="continuationSeparator" w:id="0">
    <w:p w14:paraId="19D201B1" w14:textId="77777777" w:rsidR="00B2189D" w:rsidRDefault="00B2189D" w:rsidP="0087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F84B" w14:textId="77777777" w:rsidR="00B2189D" w:rsidRDefault="00B2189D" w:rsidP="0087657C">
      <w:pPr>
        <w:spacing w:after="0" w:line="240" w:lineRule="auto"/>
      </w:pPr>
      <w:r>
        <w:separator/>
      </w:r>
    </w:p>
  </w:footnote>
  <w:footnote w:type="continuationSeparator" w:id="0">
    <w:p w14:paraId="2FC0C2A8" w14:textId="77777777" w:rsidR="00B2189D" w:rsidRDefault="00B2189D" w:rsidP="00876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FF"/>
    <w:rsid w:val="000046FB"/>
    <w:rsid w:val="000126D0"/>
    <w:rsid w:val="0001363B"/>
    <w:rsid w:val="00013C40"/>
    <w:rsid w:val="00020756"/>
    <w:rsid w:val="00020B07"/>
    <w:rsid w:val="00022D79"/>
    <w:rsid w:val="000243DB"/>
    <w:rsid w:val="00032041"/>
    <w:rsid w:val="00035242"/>
    <w:rsid w:val="000356C2"/>
    <w:rsid w:val="00040979"/>
    <w:rsid w:val="00045475"/>
    <w:rsid w:val="00057B7F"/>
    <w:rsid w:val="00067887"/>
    <w:rsid w:val="00067CFB"/>
    <w:rsid w:val="00070AD8"/>
    <w:rsid w:val="00070D4D"/>
    <w:rsid w:val="0007100A"/>
    <w:rsid w:val="000716CD"/>
    <w:rsid w:val="00082EF6"/>
    <w:rsid w:val="000A37EF"/>
    <w:rsid w:val="000A5C1B"/>
    <w:rsid w:val="000A6039"/>
    <w:rsid w:val="000B1F23"/>
    <w:rsid w:val="000B3347"/>
    <w:rsid w:val="000B7B2C"/>
    <w:rsid w:val="000C029F"/>
    <w:rsid w:val="000C456D"/>
    <w:rsid w:val="000C5A85"/>
    <w:rsid w:val="000C5AF6"/>
    <w:rsid w:val="000C5C6B"/>
    <w:rsid w:val="000C6E4B"/>
    <w:rsid w:val="000D1928"/>
    <w:rsid w:val="000D2EA6"/>
    <w:rsid w:val="000D2F0E"/>
    <w:rsid w:val="000D3CFB"/>
    <w:rsid w:val="000D4192"/>
    <w:rsid w:val="000E2B3C"/>
    <w:rsid w:val="000F521A"/>
    <w:rsid w:val="000F7836"/>
    <w:rsid w:val="00104721"/>
    <w:rsid w:val="00112AB6"/>
    <w:rsid w:val="00112AD6"/>
    <w:rsid w:val="001176EC"/>
    <w:rsid w:val="0012449F"/>
    <w:rsid w:val="00131671"/>
    <w:rsid w:val="00136BD9"/>
    <w:rsid w:val="001443C5"/>
    <w:rsid w:val="00154177"/>
    <w:rsid w:val="00156801"/>
    <w:rsid w:val="00164F40"/>
    <w:rsid w:val="001865BB"/>
    <w:rsid w:val="001876E5"/>
    <w:rsid w:val="00194F8A"/>
    <w:rsid w:val="00195F93"/>
    <w:rsid w:val="001A2CEC"/>
    <w:rsid w:val="001A3059"/>
    <w:rsid w:val="001A6342"/>
    <w:rsid w:val="001C0C1D"/>
    <w:rsid w:val="001C1168"/>
    <w:rsid w:val="001D03D2"/>
    <w:rsid w:val="001D0B30"/>
    <w:rsid w:val="001D1C60"/>
    <w:rsid w:val="001E2BF4"/>
    <w:rsid w:val="001E3624"/>
    <w:rsid w:val="001E7799"/>
    <w:rsid w:val="00201D8C"/>
    <w:rsid w:val="00202FE1"/>
    <w:rsid w:val="00213E6C"/>
    <w:rsid w:val="002174A9"/>
    <w:rsid w:val="002266C6"/>
    <w:rsid w:val="00230F18"/>
    <w:rsid w:val="002316DD"/>
    <w:rsid w:val="002348D6"/>
    <w:rsid w:val="002763E9"/>
    <w:rsid w:val="00284D93"/>
    <w:rsid w:val="00287522"/>
    <w:rsid w:val="002977E4"/>
    <w:rsid w:val="002A5BA4"/>
    <w:rsid w:val="002B253C"/>
    <w:rsid w:val="002C20F4"/>
    <w:rsid w:val="002E2CF9"/>
    <w:rsid w:val="002F0AF3"/>
    <w:rsid w:val="002F1140"/>
    <w:rsid w:val="002F131B"/>
    <w:rsid w:val="002F4731"/>
    <w:rsid w:val="002F7655"/>
    <w:rsid w:val="003021E9"/>
    <w:rsid w:val="003025CD"/>
    <w:rsid w:val="00304B23"/>
    <w:rsid w:val="00311DAE"/>
    <w:rsid w:val="0031349D"/>
    <w:rsid w:val="00313B8C"/>
    <w:rsid w:val="00314DF7"/>
    <w:rsid w:val="00316B6A"/>
    <w:rsid w:val="003173A0"/>
    <w:rsid w:val="00317F5F"/>
    <w:rsid w:val="0032070A"/>
    <w:rsid w:val="003355AB"/>
    <w:rsid w:val="003401B4"/>
    <w:rsid w:val="00343858"/>
    <w:rsid w:val="00347EAA"/>
    <w:rsid w:val="00350748"/>
    <w:rsid w:val="0035179D"/>
    <w:rsid w:val="0035241D"/>
    <w:rsid w:val="003549D8"/>
    <w:rsid w:val="00355410"/>
    <w:rsid w:val="00361037"/>
    <w:rsid w:val="00365731"/>
    <w:rsid w:val="003744BE"/>
    <w:rsid w:val="00374754"/>
    <w:rsid w:val="003A318F"/>
    <w:rsid w:val="003A46C8"/>
    <w:rsid w:val="003B7F52"/>
    <w:rsid w:val="003C3195"/>
    <w:rsid w:val="003D1F58"/>
    <w:rsid w:val="003E0A94"/>
    <w:rsid w:val="003E4528"/>
    <w:rsid w:val="003E511B"/>
    <w:rsid w:val="003F1239"/>
    <w:rsid w:val="003F3008"/>
    <w:rsid w:val="003F3390"/>
    <w:rsid w:val="003F448B"/>
    <w:rsid w:val="003F5866"/>
    <w:rsid w:val="00400803"/>
    <w:rsid w:val="00407332"/>
    <w:rsid w:val="004226FF"/>
    <w:rsid w:val="00423334"/>
    <w:rsid w:val="00423BC3"/>
    <w:rsid w:val="004332FF"/>
    <w:rsid w:val="00437210"/>
    <w:rsid w:val="0043788C"/>
    <w:rsid w:val="00440E3E"/>
    <w:rsid w:val="00441662"/>
    <w:rsid w:val="00442119"/>
    <w:rsid w:val="00442361"/>
    <w:rsid w:val="00443F4C"/>
    <w:rsid w:val="00450503"/>
    <w:rsid w:val="004515F5"/>
    <w:rsid w:val="00460589"/>
    <w:rsid w:val="00461DE2"/>
    <w:rsid w:val="004633BC"/>
    <w:rsid w:val="00463E32"/>
    <w:rsid w:val="0046403B"/>
    <w:rsid w:val="00471DD1"/>
    <w:rsid w:val="00480921"/>
    <w:rsid w:val="00487BF0"/>
    <w:rsid w:val="004941A5"/>
    <w:rsid w:val="004A04AA"/>
    <w:rsid w:val="004A1303"/>
    <w:rsid w:val="004A195C"/>
    <w:rsid w:val="004A1CCD"/>
    <w:rsid w:val="004A5841"/>
    <w:rsid w:val="004A6888"/>
    <w:rsid w:val="004B1375"/>
    <w:rsid w:val="004B1632"/>
    <w:rsid w:val="004B6644"/>
    <w:rsid w:val="004B7A55"/>
    <w:rsid w:val="004C5B16"/>
    <w:rsid w:val="004C67F8"/>
    <w:rsid w:val="004D708C"/>
    <w:rsid w:val="004E0414"/>
    <w:rsid w:val="004E6EDB"/>
    <w:rsid w:val="004F09D6"/>
    <w:rsid w:val="004F2619"/>
    <w:rsid w:val="004F4DDE"/>
    <w:rsid w:val="00510126"/>
    <w:rsid w:val="00511872"/>
    <w:rsid w:val="00512B48"/>
    <w:rsid w:val="005238D6"/>
    <w:rsid w:val="00526150"/>
    <w:rsid w:val="0053225F"/>
    <w:rsid w:val="005350AF"/>
    <w:rsid w:val="0053676A"/>
    <w:rsid w:val="0054088B"/>
    <w:rsid w:val="00552EF2"/>
    <w:rsid w:val="00553CD3"/>
    <w:rsid w:val="0056065A"/>
    <w:rsid w:val="00565B16"/>
    <w:rsid w:val="0058760D"/>
    <w:rsid w:val="005929E3"/>
    <w:rsid w:val="005B7675"/>
    <w:rsid w:val="005C6F2A"/>
    <w:rsid w:val="005C78EB"/>
    <w:rsid w:val="005D0493"/>
    <w:rsid w:val="005D3712"/>
    <w:rsid w:val="005D7AFE"/>
    <w:rsid w:val="005E4E64"/>
    <w:rsid w:val="005F44DA"/>
    <w:rsid w:val="0060349A"/>
    <w:rsid w:val="00605432"/>
    <w:rsid w:val="00607542"/>
    <w:rsid w:val="00612090"/>
    <w:rsid w:val="00614EA3"/>
    <w:rsid w:val="00616A39"/>
    <w:rsid w:val="00621568"/>
    <w:rsid w:val="006243E6"/>
    <w:rsid w:val="00627306"/>
    <w:rsid w:val="00631104"/>
    <w:rsid w:val="00633C44"/>
    <w:rsid w:val="0064314E"/>
    <w:rsid w:val="00647F5A"/>
    <w:rsid w:val="0065545A"/>
    <w:rsid w:val="00656603"/>
    <w:rsid w:val="0065760D"/>
    <w:rsid w:val="00666385"/>
    <w:rsid w:val="00667077"/>
    <w:rsid w:val="00671F96"/>
    <w:rsid w:val="006735DB"/>
    <w:rsid w:val="0067688F"/>
    <w:rsid w:val="00681BB0"/>
    <w:rsid w:val="00681E8F"/>
    <w:rsid w:val="00690F2F"/>
    <w:rsid w:val="006922B4"/>
    <w:rsid w:val="00693BC5"/>
    <w:rsid w:val="00694E1F"/>
    <w:rsid w:val="006A5A5C"/>
    <w:rsid w:val="006B030A"/>
    <w:rsid w:val="006B6538"/>
    <w:rsid w:val="006C597B"/>
    <w:rsid w:val="006D23BB"/>
    <w:rsid w:val="006D50BA"/>
    <w:rsid w:val="006E5551"/>
    <w:rsid w:val="006F4CD0"/>
    <w:rsid w:val="006F4DC3"/>
    <w:rsid w:val="007075E9"/>
    <w:rsid w:val="0071189A"/>
    <w:rsid w:val="00712F94"/>
    <w:rsid w:val="00713636"/>
    <w:rsid w:val="007221CD"/>
    <w:rsid w:val="007245F4"/>
    <w:rsid w:val="00727CFF"/>
    <w:rsid w:val="007311E6"/>
    <w:rsid w:val="00732CC2"/>
    <w:rsid w:val="00747201"/>
    <w:rsid w:val="0075069A"/>
    <w:rsid w:val="0076491C"/>
    <w:rsid w:val="00776D93"/>
    <w:rsid w:val="007828DB"/>
    <w:rsid w:val="00782FC4"/>
    <w:rsid w:val="007A13B8"/>
    <w:rsid w:val="007A1BE0"/>
    <w:rsid w:val="007A6DBF"/>
    <w:rsid w:val="007B011E"/>
    <w:rsid w:val="007B464E"/>
    <w:rsid w:val="007C1031"/>
    <w:rsid w:val="007C38FA"/>
    <w:rsid w:val="007C3AE5"/>
    <w:rsid w:val="007D104C"/>
    <w:rsid w:val="007D3B40"/>
    <w:rsid w:val="007D7CED"/>
    <w:rsid w:val="007E32F6"/>
    <w:rsid w:val="007F0E7F"/>
    <w:rsid w:val="007F1E22"/>
    <w:rsid w:val="007F349A"/>
    <w:rsid w:val="007F47E4"/>
    <w:rsid w:val="007F5710"/>
    <w:rsid w:val="00802ED0"/>
    <w:rsid w:val="008033E0"/>
    <w:rsid w:val="00803517"/>
    <w:rsid w:val="00805B10"/>
    <w:rsid w:val="0080617E"/>
    <w:rsid w:val="00810280"/>
    <w:rsid w:val="00812B21"/>
    <w:rsid w:val="008236D2"/>
    <w:rsid w:val="00827381"/>
    <w:rsid w:val="00830173"/>
    <w:rsid w:val="0083188C"/>
    <w:rsid w:val="00846DA0"/>
    <w:rsid w:val="00852733"/>
    <w:rsid w:val="00856057"/>
    <w:rsid w:val="0087657C"/>
    <w:rsid w:val="00877186"/>
    <w:rsid w:val="008804DE"/>
    <w:rsid w:val="00881A87"/>
    <w:rsid w:val="00886A4A"/>
    <w:rsid w:val="00891A53"/>
    <w:rsid w:val="008A1A2D"/>
    <w:rsid w:val="008A243C"/>
    <w:rsid w:val="008B1875"/>
    <w:rsid w:val="008C0A7A"/>
    <w:rsid w:val="008D7867"/>
    <w:rsid w:val="008E5A67"/>
    <w:rsid w:val="008E79F2"/>
    <w:rsid w:val="008F4CE8"/>
    <w:rsid w:val="009057E8"/>
    <w:rsid w:val="009072E6"/>
    <w:rsid w:val="009164FA"/>
    <w:rsid w:val="009167BB"/>
    <w:rsid w:val="00922EB6"/>
    <w:rsid w:val="00927995"/>
    <w:rsid w:val="00930ABD"/>
    <w:rsid w:val="0093161F"/>
    <w:rsid w:val="00950C22"/>
    <w:rsid w:val="009529EC"/>
    <w:rsid w:val="0095499C"/>
    <w:rsid w:val="00960A5B"/>
    <w:rsid w:val="00964611"/>
    <w:rsid w:val="009664BF"/>
    <w:rsid w:val="00973487"/>
    <w:rsid w:val="00975ABE"/>
    <w:rsid w:val="00980F45"/>
    <w:rsid w:val="00981BA0"/>
    <w:rsid w:val="009823F9"/>
    <w:rsid w:val="009975C8"/>
    <w:rsid w:val="009A08BF"/>
    <w:rsid w:val="009A182D"/>
    <w:rsid w:val="009B2CA8"/>
    <w:rsid w:val="009B36AB"/>
    <w:rsid w:val="009B48F3"/>
    <w:rsid w:val="009B6AB1"/>
    <w:rsid w:val="009C6BAF"/>
    <w:rsid w:val="009C755B"/>
    <w:rsid w:val="009D23C9"/>
    <w:rsid w:val="009E3209"/>
    <w:rsid w:val="009E320B"/>
    <w:rsid w:val="009F1BA3"/>
    <w:rsid w:val="009F4900"/>
    <w:rsid w:val="009F7A40"/>
    <w:rsid w:val="00A01BE0"/>
    <w:rsid w:val="00A0319A"/>
    <w:rsid w:val="00A131BE"/>
    <w:rsid w:val="00A14C72"/>
    <w:rsid w:val="00A24269"/>
    <w:rsid w:val="00A25B48"/>
    <w:rsid w:val="00A30763"/>
    <w:rsid w:val="00A30FE7"/>
    <w:rsid w:val="00A33840"/>
    <w:rsid w:val="00A36889"/>
    <w:rsid w:val="00A4476D"/>
    <w:rsid w:val="00A474E8"/>
    <w:rsid w:val="00A6272D"/>
    <w:rsid w:val="00A64979"/>
    <w:rsid w:val="00A66C42"/>
    <w:rsid w:val="00A67E47"/>
    <w:rsid w:val="00A7201F"/>
    <w:rsid w:val="00A77D07"/>
    <w:rsid w:val="00A803D4"/>
    <w:rsid w:val="00A8254D"/>
    <w:rsid w:val="00AA2CE5"/>
    <w:rsid w:val="00AA7284"/>
    <w:rsid w:val="00AB0403"/>
    <w:rsid w:val="00AB36A1"/>
    <w:rsid w:val="00AB7901"/>
    <w:rsid w:val="00AC2B9E"/>
    <w:rsid w:val="00AC4E88"/>
    <w:rsid w:val="00AC7433"/>
    <w:rsid w:val="00AD06B8"/>
    <w:rsid w:val="00AD0CD4"/>
    <w:rsid w:val="00AD256B"/>
    <w:rsid w:val="00AD335E"/>
    <w:rsid w:val="00AD7BB2"/>
    <w:rsid w:val="00AD7DEE"/>
    <w:rsid w:val="00AE23BC"/>
    <w:rsid w:val="00AE7FC8"/>
    <w:rsid w:val="00AF1B65"/>
    <w:rsid w:val="00AF260F"/>
    <w:rsid w:val="00AF2C74"/>
    <w:rsid w:val="00AF731D"/>
    <w:rsid w:val="00B01D50"/>
    <w:rsid w:val="00B04C66"/>
    <w:rsid w:val="00B10EA3"/>
    <w:rsid w:val="00B11CE2"/>
    <w:rsid w:val="00B140A0"/>
    <w:rsid w:val="00B21136"/>
    <w:rsid w:val="00B2189D"/>
    <w:rsid w:val="00B24ADC"/>
    <w:rsid w:val="00B342C5"/>
    <w:rsid w:val="00B3730F"/>
    <w:rsid w:val="00B43CC3"/>
    <w:rsid w:val="00B57D88"/>
    <w:rsid w:val="00B60239"/>
    <w:rsid w:val="00B631B5"/>
    <w:rsid w:val="00B64D1B"/>
    <w:rsid w:val="00B658DD"/>
    <w:rsid w:val="00B67385"/>
    <w:rsid w:val="00B83F36"/>
    <w:rsid w:val="00B90AE6"/>
    <w:rsid w:val="00B92982"/>
    <w:rsid w:val="00B94266"/>
    <w:rsid w:val="00BA1683"/>
    <w:rsid w:val="00BA2648"/>
    <w:rsid w:val="00BA4AB5"/>
    <w:rsid w:val="00BB29F6"/>
    <w:rsid w:val="00BC152D"/>
    <w:rsid w:val="00BC3E0C"/>
    <w:rsid w:val="00BC722B"/>
    <w:rsid w:val="00BD6009"/>
    <w:rsid w:val="00BE2BE6"/>
    <w:rsid w:val="00BF0C63"/>
    <w:rsid w:val="00BF2644"/>
    <w:rsid w:val="00BF34AD"/>
    <w:rsid w:val="00BF4E08"/>
    <w:rsid w:val="00C005B1"/>
    <w:rsid w:val="00C01251"/>
    <w:rsid w:val="00C01BED"/>
    <w:rsid w:val="00C15D98"/>
    <w:rsid w:val="00C214B6"/>
    <w:rsid w:val="00C26DF7"/>
    <w:rsid w:val="00C31B31"/>
    <w:rsid w:val="00C347A3"/>
    <w:rsid w:val="00C34A0C"/>
    <w:rsid w:val="00C374A8"/>
    <w:rsid w:val="00C37BD7"/>
    <w:rsid w:val="00C4097A"/>
    <w:rsid w:val="00C428D1"/>
    <w:rsid w:val="00C45A5E"/>
    <w:rsid w:val="00C45D1E"/>
    <w:rsid w:val="00C538E2"/>
    <w:rsid w:val="00C54F17"/>
    <w:rsid w:val="00C6354A"/>
    <w:rsid w:val="00C70EE1"/>
    <w:rsid w:val="00C8468E"/>
    <w:rsid w:val="00C86D18"/>
    <w:rsid w:val="00C87293"/>
    <w:rsid w:val="00C91204"/>
    <w:rsid w:val="00C922AC"/>
    <w:rsid w:val="00C969DC"/>
    <w:rsid w:val="00C9787D"/>
    <w:rsid w:val="00CA14E4"/>
    <w:rsid w:val="00CA495C"/>
    <w:rsid w:val="00CB4ED0"/>
    <w:rsid w:val="00CC6FCE"/>
    <w:rsid w:val="00CC704D"/>
    <w:rsid w:val="00CD5A3E"/>
    <w:rsid w:val="00CE2B72"/>
    <w:rsid w:val="00CE3DCE"/>
    <w:rsid w:val="00CF6697"/>
    <w:rsid w:val="00D0160A"/>
    <w:rsid w:val="00D030C6"/>
    <w:rsid w:val="00D05688"/>
    <w:rsid w:val="00D1374D"/>
    <w:rsid w:val="00D17DE6"/>
    <w:rsid w:val="00D22789"/>
    <w:rsid w:val="00D26305"/>
    <w:rsid w:val="00D27788"/>
    <w:rsid w:val="00D31A74"/>
    <w:rsid w:val="00D331C7"/>
    <w:rsid w:val="00D37A5F"/>
    <w:rsid w:val="00D45036"/>
    <w:rsid w:val="00D562FA"/>
    <w:rsid w:val="00D56CE7"/>
    <w:rsid w:val="00D642DD"/>
    <w:rsid w:val="00D64362"/>
    <w:rsid w:val="00D64D32"/>
    <w:rsid w:val="00D724CF"/>
    <w:rsid w:val="00D81B53"/>
    <w:rsid w:val="00D837CA"/>
    <w:rsid w:val="00D972C1"/>
    <w:rsid w:val="00DA0B67"/>
    <w:rsid w:val="00DA18BA"/>
    <w:rsid w:val="00DA27BF"/>
    <w:rsid w:val="00DA2E3E"/>
    <w:rsid w:val="00DA6DE4"/>
    <w:rsid w:val="00DB6F8A"/>
    <w:rsid w:val="00DC1300"/>
    <w:rsid w:val="00DD2D12"/>
    <w:rsid w:val="00DD34BF"/>
    <w:rsid w:val="00DD3639"/>
    <w:rsid w:val="00DD5EAC"/>
    <w:rsid w:val="00DD668D"/>
    <w:rsid w:val="00DD7D28"/>
    <w:rsid w:val="00DE14B5"/>
    <w:rsid w:val="00DE2B48"/>
    <w:rsid w:val="00DE6794"/>
    <w:rsid w:val="00DF0086"/>
    <w:rsid w:val="00DF3C79"/>
    <w:rsid w:val="00DF5545"/>
    <w:rsid w:val="00DF5953"/>
    <w:rsid w:val="00E04138"/>
    <w:rsid w:val="00E056F5"/>
    <w:rsid w:val="00E06159"/>
    <w:rsid w:val="00E165FD"/>
    <w:rsid w:val="00E16E5A"/>
    <w:rsid w:val="00E306CD"/>
    <w:rsid w:val="00E355DE"/>
    <w:rsid w:val="00E41C18"/>
    <w:rsid w:val="00E425DE"/>
    <w:rsid w:val="00E467A2"/>
    <w:rsid w:val="00E51548"/>
    <w:rsid w:val="00E62259"/>
    <w:rsid w:val="00E63839"/>
    <w:rsid w:val="00E66BCA"/>
    <w:rsid w:val="00E67023"/>
    <w:rsid w:val="00E74820"/>
    <w:rsid w:val="00E81654"/>
    <w:rsid w:val="00EA02C1"/>
    <w:rsid w:val="00EA07DF"/>
    <w:rsid w:val="00EA1421"/>
    <w:rsid w:val="00EA6A75"/>
    <w:rsid w:val="00EA7409"/>
    <w:rsid w:val="00EB27F4"/>
    <w:rsid w:val="00EB2E02"/>
    <w:rsid w:val="00EB2FA6"/>
    <w:rsid w:val="00EB7C3B"/>
    <w:rsid w:val="00EC016C"/>
    <w:rsid w:val="00EC0494"/>
    <w:rsid w:val="00EC07F5"/>
    <w:rsid w:val="00EC1641"/>
    <w:rsid w:val="00ED3E38"/>
    <w:rsid w:val="00EE0A1D"/>
    <w:rsid w:val="00EF2175"/>
    <w:rsid w:val="00F00A0F"/>
    <w:rsid w:val="00F12FD8"/>
    <w:rsid w:val="00F16A80"/>
    <w:rsid w:val="00F22056"/>
    <w:rsid w:val="00F24B81"/>
    <w:rsid w:val="00F25FB4"/>
    <w:rsid w:val="00F31EDD"/>
    <w:rsid w:val="00F359B9"/>
    <w:rsid w:val="00F37337"/>
    <w:rsid w:val="00F37F2C"/>
    <w:rsid w:val="00F56404"/>
    <w:rsid w:val="00F73268"/>
    <w:rsid w:val="00F74029"/>
    <w:rsid w:val="00F778B5"/>
    <w:rsid w:val="00FA2672"/>
    <w:rsid w:val="00FA354D"/>
    <w:rsid w:val="00FA6361"/>
    <w:rsid w:val="00FA6D29"/>
    <w:rsid w:val="00FB2278"/>
    <w:rsid w:val="00FB2B11"/>
    <w:rsid w:val="00FB686A"/>
    <w:rsid w:val="00FB6B3B"/>
    <w:rsid w:val="00FC4EC0"/>
    <w:rsid w:val="00FC6DC1"/>
    <w:rsid w:val="00FC7FD3"/>
    <w:rsid w:val="00FD132E"/>
    <w:rsid w:val="00FD28EC"/>
    <w:rsid w:val="00FD57C7"/>
    <w:rsid w:val="00FD658A"/>
    <w:rsid w:val="00FD6FFC"/>
    <w:rsid w:val="00FE089C"/>
    <w:rsid w:val="00F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73"/>
  <w15:chartTrackingRefBased/>
  <w15:docId w15:val="{633C45FF-14BD-41C0-8C1E-6353F8FD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04D"/>
    <w:pPr>
      <w:ind w:left="720"/>
      <w:contextualSpacing/>
    </w:pPr>
  </w:style>
  <w:style w:type="paragraph" w:styleId="Header">
    <w:name w:val="header"/>
    <w:basedOn w:val="Normal"/>
    <w:link w:val="HeaderChar"/>
    <w:uiPriority w:val="99"/>
    <w:unhideWhenUsed/>
    <w:rsid w:val="0087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57C"/>
  </w:style>
  <w:style w:type="paragraph" w:styleId="Footer">
    <w:name w:val="footer"/>
    <w:basedOn w:val="Normal"/>
    <w:link w:val="FooterChar"/>
    <w:uiPriority w:val="99"/>
    <w:unhideWhenUsed/>
    <w:rsid w:val="0087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5325">
      <w:bodyDiv w:val="1"/>
      <w:marLeft w:val="0"/>
      <w:marRight w:val="0"/>
      <w:marTop w:val="0"/>
      <w:marBottom w:val="0"/>
      <w:divBdr>
        <w:top w:val="none" w:sz="0" w:space="0" w:color="auto"/>
        <w:left w:val="none" w:sz="0" w:space="0" w:color="auto"/>
        <w:bottom w:val="none" w:sz="0" w:space="0" w:color="auto"/>
        <w:right w:val="none" w:sz="0" w:space="0" w:color="auto"/>
      </w:divBdr>
    </w:div>
    <w:div w:id="15568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Figure</a:t>
            </a:r>
            <a:r>
              <a:rPr lang="en-US" sz="1100" baseline="0">
                <a:solidFill>
                  <a:sysClr val="windowText" lastClr="000000"/>
                </a:solidFill>
              </a:rPr>
              <a:t> 2. Years of Death by Manner of Death 0 to 19 years of age, 2012-2021 </a:t>
            </a:r>
            <a:endParaRPr lang="en-US" sz="1100">
              <a:solidFill>
                <a:sysClr val="windowText" lastClr="000000"/>
              </a:solidFill>
            </a:endParaRPr>
          </a:p>
        </c:rich>
      </c:tx>
      <c:layout>
        <c:manualLayout>
          <c:xMode val="edge"/>
          <c:yMode val="edge"/>
          <c:x val="3.8190458933219124E-2"/>
          <c:y val="1.763279700242451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4077685895957566E-2"/>
          <c:y val="0.14638491728596359"/>
          <c:w val="0.82642440615425161"/>
          <c:h val="0.61547277936962752"/>
        </c:manualLayout>
      </c:layout>
      <c:barChart>
        <c:barDir val="col"/>
        <c:grouping val="stacked"/>
        <c:varyColors val="0"/>
        <c:ser>
          <c:idx val="0"/>
          <c:order val="0"/>
          <c:tx>
            <c:strRef>
              <c:f>Sheet11!$G$5</c:f>
              <c:strCache>
                <c:ptCount val="1"/>
                <c:pt idx="0">
                  <c:v>Accident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Sheet11!$F$6:$F$15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Sheet11!$G$6:$G$15</c:f>
              <c:numCache>
                <c:formatCode>General</c:formatCode>
                <c:ptCount val="10"/>
                <c:pt idx="0">
                  <c:v>6</c:v>
                </c:pt>
                <c:pt idx="1">
                  <c:v>8</c:v>
                </c:pt>
                <c:pt idx="2">
                  <c:v>4</c:v>
                </c:pt>
                <c:pt idx="3">
                  <c:v>6</c:v>
                </c:pt>
                <c:pt idx="4">
                  <c:v>4</c:v>
                </c:pt>
                <c:pt idx="5">
                  <c:v>3</c:v>
                </c:pt>
                <c:pt idx="6">
                  <c:v>6</c:v>
                </c:pt>
                <c:pt idx="7">
                  <c:v>4</c:v>
                </c:pt>
                <c:pt idx="8">
                  <c:v>7</c:v>
                </c:pt>
                <c:pt idx="9">
                  <c:v>7</c:v>
                </c:pt>
              </c:numCache>
            </c:numRef>
          </c:val>
          <c:extLst>
            <c:ext xmlns:c16="http://schemas.microsoft.com/office/drawing/2014/chart" uri="{C3380CC4-5D6E-409C-BE32-E72D297353CC}">
              <c16:uniqueId val="{00000000-9D64-49A4-9AB4-69FF0972BB15}"/>
            </c:ext>
          </c:extLst>
        </c:ser>
        <c:ser>
          <c:idx val="1"/>
          <c:order val="1"/>
          <c:tx>
            <c:strRef>
              <c:f>Sheet11!$H$5</c:f>
              <c:strCache>
                <c:ptCount val="1"/>
                <c:pt idx="0">
                  <c:v>Natural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Sheet11!$F$6:$F$15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Sheet11!$H$6:$H$15</c:f>
              <c:numCache>
                <c:formatCode>General</c:formatCode>
                <c:ptCount val="10"/>
                <c:pt idx="0">
                  <c:v>8</c:v>
                </c:pt>
                <c:pt idx="1">
                  <c:v>8</c:v>
                </c:pt>
                <c:pt idx="2">
                  <c:v>6</c:v>
                </c:pt>
                <c:pt idx="3">
                  <c:v>6</c:v>
                </c:pt>
                <c:pt idx="4">
                  <c:v>10</c:v>
                </c:pt>
                <c:pt idx="5">
                  <c:v>5</c:v>
                </c:pt>
                <c:pt idx="6">
                  <c:v>8</c:v>
                </c:pt>
                <c:pt idx="7">
                  <c:v>6</c:v>
                </c:pt>
                <c:pt idx="8">
                  <c:v>10</c:v>
                </c:pt>
                <c:pt idx="9">
                  <c:v>6</c:v>
                </c:pt>
              </c:numCache>
            </c:numRef>
          </c:val>
          <c:extLst>
            <c:ext xmlns:c16="http://schemas.microsoft.com/office/drawing/2014/chart" uri="{C3380CC4-5D6E-409C-BE32-E72D297353CC}">
              <c16:uniqueId val="{00000001-9D64-49A4-9AB4-69FF0972BB15}"/>
            </c:ext>
          </c:extLst>
        </c:ser>
        <c:ser>
          <c:idx val="2"/>
          <c:order val="2"/>
          <c:tx>
            <c:strRef>
              <c:f>Sheet11!$I$5</c:f>
              <c:strCache>
                <c:ptCount val="1"/>
                <c:pt idx="0">
                  <c:v>Suicide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Sheet11!$F$6:$F$15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Sheet11!$I$6:$I$15</c:f>
              <c:numCache>
                <c:formatCode>General</c:formatCode>
                <c:ptCount val="10"/>
                <c:pt idx="0">
                  <c:v>3</c:v>
                </c:pt>
                <c:pt idx="1">
                  <c:v>1</c:v>
                </c:pt>
                <c:pt idx="3">
                  <c:v>2</c:v>
                </c:pt>
                <c:pt idx="4">
                  <c:v>2</c:v>
                </c:pt>
                <c:pt idx="5">
                  <c:v>1</c:v>
                </c:pt>
                <c:pt idx="6">
                  <c:v>2</c:v>
                </c:pt>
                <c:pt idx="7">
                  <c:v>2</c:v>
                </c:pt>
                <c:pt idx="8">
                  <c:v>5</c:v>
                </c:pt>
                <c:pt idx="9">
                  <c:v>3</c:v>
                </c:pt>
              </c:numCache>
            </c:numRef>
          </c:val>
          <c:extLst>
            <c:ext xmlns:c16="http://schemas.microsoft.com/office/drawing/2014/chart" uri="{C3380CC4-5D6E-409C-BE32-E72D297353CC}">
              <c16:uniqueId val="{00000002-9D64-49A4-9AB4-69FF0972BB15}"/>
            </c:ext>
          </c:extLst>
        </c:ser>
        <c:ser>
          <c:idx val="3"/>
          <c:order val="3"/>
          <c:tx>
            <c:strRef>
              <c:f>Sheet11!$J$5</c:f>
              <c:strCache>
                <c:ptCount val="1"/>
                <c:pt idx="0">
                  <c:v>Homicide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Sheet11!$F$6:$F$15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Sheet11!$J$6:$J$15</c:f>
              <c:numCache>
                <c:formatCode>General</c:formatCode>
                <c:ptCount val="10"/>
                <c:pt idx="0">
                  <c:v>2</c:v>
                </c:pt>
                <c:pt idx="3">
                  <c:v>2</c:v>
                </c:pt>
                <c:pt idx="4">
                  <c:v>1</c:v>
                </c:pt>
              </c:numCache>
            </c:numRef>
          </c:val>
          <c:extLst>
            <c:ext xmlns:c16="http://schemas.microsoft.com/office/drawing/2014/chart" uri="{C3380CC4-5D6E-409C-BE32-E72D297353CC}">
              <c16:uniqueId val="{00000003-9D64-49A4-9AB4-69FF0972BB15}"/>
            </c:ext>
          </c:extLst>
        </c:ser>
        <c:dLbls>
          <c:showLegendKey val="0"/>
          <c:showVal val="1"/>
          <c:showCatName val="0"/>
          <c:showSerName val="0"/>
          <c:showPercent val="0"/>
          <c:showBubbleSize val="0"/>
        </c:dLbls>
        <c:gapWidth val="75"/>
        <c:overlap val="100"/>
        <c:axId val="1535440992"/>
        <c:axId val="1535463040"/>
      </c:barChart>
      <c:lineChart>
        <c:grouping val="standard"/>
        <c:varyColors val="0"/>
        <c:ser>
          <c:idx val="4"/>
          <c:order val="4"/>
          <c:tx>
            <c:strRef>
              <c:f>Sheet11!$K$5</c:f>
              <c:strCache>
                <c:ptCount val="1"/>
                <c:pt idx="0">
                  <c:v>Grand Total</c:v>
                </c:pt>
              </c:strCache>
            </c:strRef>
          </c:tx>
          <c:spPr>
            <a:ln w="28575" cap="rnd">
              <a:solidFill>
                <a:schemeClr val="accent5"/>
              </a:solidFill>
              <a:round/>
            </a:ln>
            <a:effectLst/>
          </c:spPr>
          <c:marker>
            <c:symbol val="star"/>
            <c:size val="5"/>
            <c:spPr>
              <a:noFill/>
              <a:ln w="9525">
                <a:solidFill>
                  <a:schemeClr val="accent5">
                    <a:lumMod val="75000"/>
                  </a:schemeClr>
                </a:solidFill>
              </a:ln>
              <a:effectLst/>
            </c:spPr>
          </c:marker>
          <c:dLbls>
            <c:dLbl>
              <c:idx val="0"/>
              <c:layout>
                <c:manualLayout>
                  <c:x val="-3.1771892055622163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64-49A4-9AB4-69FF0972BB15}"/>
                </c:ext>
              </c:extLst>
            </c:dLbl>
            <c:dLbl>
              <c:idx val="1"/>
              <c:layout>
                <c:manualLayout>
                  <c:x val="-2.932790035903585E-2"/>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64-49A4-9AB4-69FF0972BB15}"/>
                </c:ext>
              </c:extLst>
            </c:dLbl>
            <c:dLbl>
              <c:idx val="2"/>
              <c:layout>
                <c:manualLayout>
                  <c:x val="-2.9327900359035895E-2"/>
                  <c:y val="-0.115740740740740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64-49A4-9AB4-69FF0972BB15}"/>
                </c:ext>
              </c:extLst>
            </c:dLbl>
            <c:dLbl>
              <c:idx val="3"/>
              <c:layout>
                <c:manualLayout>
                  <c:x val="-3.4215883752208541E-2"/>
                  <c:y val="-9.2592592592592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64-49A4-9AB4-69FF0972BB15}"/>
                </c:ext>
              </c:extLst>
            </c:dLbl>
            <c:dLbl>
              <c:idx val="4"/>
              <c:layout>
                <c:manualLayout>
                  <c:x val="-3.177189205562217E-2"/>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64-49A4-9AB4-69FF0972BB15}"/>
                </c:ext>
              </c:extLst>
            </c:dLbl>
            <c:dLbl>
              <c:idx val="5"/>
              <c:layout>
                <c:manualLayout>
                  <c:x val="-2.4439916965863208E-2"/>
                  <c:y val="-9.2592592592592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64-49A4-9AB4-69FF0972BB15}"/>
                </c:ext>
              </c:extLst>
            </c:dLbl>
            <c:dLbl>
              <c:idx val="6"/>
              <c:layout>
                <c:manualLayout>
                  <c:x val="-3.177189205562217E-2"/>
                  <c:y val="-8.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64-49A4-9AB4-69FF0972BB15}"/>
                </c:ext>
              </c:extLst>
            </c:dLbl>
            <c:dLbl>
              <c:idx val="7"/>
              <c:layout>
                <c:manualLayout>
                  <c:x val="-3.4215883752208402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64-49A4-9AB4-69FF0972BB15}"/>
                </c:ext>
              </c:extLst>
            </c:dLbl>
            <c:dLbl>
              <c:idx val="8"/>
              <c:layout>
                <c:manualLayout>
                  <c:x val="-3.421588375220849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D64-49A4-9AB4-69FF0972BB15}"/>
                </c:ext>
              </c:extLst>
            </c:dLbl>
            <c:dLbl>
              <c:idx val="9"/>
              <c:layout>
                <c:manualLayout>
                  <c:x val="-3.4215883752208492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D64-49A4-9AB4-69FF0972BB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Sheet11!$K$6:$K$15</c:f>
              <c:numCache>
                <c:formatCode>General</c:formatCode>
                <c:ptCount val="10"/>
                <c:pt idx="0">
                  <c:v>19</c:v>
                </c:pt>
                <c:pt idx="1">
                  <c:v>17</c:v>
                </c:pt>
                <c:pt idx="2">
                  <c:v>10</c:v>
                </c:pt>
                <c:pt idx="3">
                  <c:v>16</c:v>
                </c:pt>
                <c:pt idx="4">
                  <c:v>17</c:v>
                </c:pt>
                <c:pt idx="5">
                  <c:v>9</c:v>
                </c:pt>
                <c:pt idx="6">
                  <c:v>16</c:v>
                </c:pt>
                <c:pt idx="7">
                  <c:v>12</c:v>
                </c:pt>
                <c:pt idx="8">
                  <c:v>22</c:v>
                </c:pt>
                <c:pt idx="9">
                  <c:v>16</c:v>
                </c:pt>
              </c:numCache>
            </c:numRef>
          </c:val>
          <c:smooth val="0"/>
          <c:extLst>
            <c:ext xmlns:c16="http://schemas.microsoft.com/office/drawing/2014/chart" uri="{C3380CC4-5D6E-409C-BE32-E72D297353CC}">
              <c16:uniqueId val="{0000000E-9D64-49A4-9AB4-69FF0972BB15}"/>
            </c:ext>
          </c:extLst>
        </c:ser>
        <c:dLbls>
          <c:showLegendKey val="0"/>
          <c:showVal val="1"/>
          <c:showCatName val="0"/>
          <c:showSerName val="0"/>
          <c:showPercent val="0"/>
          <c:showBubbleSize val="0"/>
        </c:dLbls>
        <c:marker val="1"/>
        <c:smooth val="0"/>
        <c:axId val="967401567"/>
        <c:axId val="967402815"/>
      </c:lineChart>
      <c:catAx>
        <c:axId val="15354409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a:solidFill>
                      <a:sysClr val="windowText" lastClr="000000"/>
                    </a:solidFill>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463040"/>
        <c:crosses val="autoZero"/>
        <c:auto val="1"/>
        <c:lblAlgn val="ctr"/>
        <c:lblOffset val="100"/>
        <c:noMultiLvlLbl val="0"/>
      </c:catAx>
      <c:valAx>
        <c:axId val="153546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aseline="0">
                    <a:solidFill>
                      <a:sysClr val="windowText" lastClr="000000"/>
                    </a:solidFill>
                  </a:rPr>
                  <a:t>Manner of Death</a:t>
                </a:r>
                <a:endParaRPr lang="en-US">
                  <a:solidFill>
                    <a:sysClr val="windowText" lastClr="000000"/>
                  </a:solidFill>
                </a:endParaRPr>
              </a:p>
            </c:rich>
          </c:tx>
          <c:layout>
            <c:manualLayout>
              <c:xMode val="edge"/>
              <c:yMode val="edge"/>
              <c:x val="1.6307449016571673E-2"/>
              <c:y val="0.365870471833515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440992"/>
        <c:crosses val="autoZero"/>
        <c:crossBetween val="between"/>
      </c:valAx>
      <c:valAx>
        <c:axId val="967402815"/>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a:t>
                </a:r>
                <a:r>
                  <a:rPr lang="en-US" baseline="0">
                    <a:solidFill>
                      <a:sysClr val="windowText" lastClr="000000"/>
                    </a:solidFill>
                  </a:rPr>
                  <a:t> Deaths</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401567"/>
        <c:crosses val="max"/>
        <c:crossBetween val="between"/>
      </c:valAx>
      <c:catAx>
        <c:axId val="967401567"/>
        <c:scaling>
          <c:orientation val="minMax"/>
        </c:scaling>
        <c:delete val="1"/>
        <c:axPos val="b"/>
        <c:majorTickMark val="out"/>
        <c:minorTickMark val="none"/>
        <c:tickLblPos val="nextTo"/>
        <c:crossAx val="967402815"/>
        <c:crosses val="autoZero"/>
        <c:auto val="1"/>
        <c:lblAlgn val="ctr"/>
        <c:lblOffset val="100"/>
        <c:noMultiLvlLbl val="0"/>
      </c:catAx>
      <c:spPr>
        <a:noFill/>
        <a:ln>
          <a:noFill/>
        </a:ln>
        <a:effectLst/>
      </c:spPr>
    </c:plotArea>
    <c:legend>
      <c:legendPos val="b"/>
      <c:layout>
        <c:manualLayout>
          <c:xMode val="edge"/>
          <c:yMode val="edge"/>
          <c:x val="0.16743188482192861"/>
          <c:y val="0.91330252221888619"/>
          <c:w val="0.66513606562777983"/>
          <c:h val="6.906468077868931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4F0B-CEDA-4334-8899-E499509C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El Dorado</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Reinhart</dc:creator>
  <cp:keywords/>
  <dc:description/>
  <cp:lastModifiedBy>Catalina Reinhart</cp:lastModifiedBy>
  <cp:revision>519</cp:revision>
  <dcterms:created xsi:type="dcterms:W3CDTF">2023-03-24T20:53:00Z</dcterms:created>
  <dcterms:modified xsi:type="dcterms:W3CDTF">2025-04-09T18:57:00Z</dcterms:modified>
</cp:coreProperties>
</file>